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1C4AD2" w:rsidRPr="00C36678" w:rsidTr="0063618A">
        <w:trPr>
          <w:trHeight w:hRule="exact" w:val="5670"/>
        </w:trPr>
        <w:tc>
          <w:tcPr>
            <w:tcW w:w="11199" w:type="dxa"/>
            <w:shd w:val="clear" w:color="auto" w:fill="auto"/>
            <w:vAlign w:val="center"/>
          </w:tcPr>
          <w:p w:rsidR="001C4AD2" w:rsidRPr="00C36678" w:rsidRDefault="00EF3EEE" w:rsidP="00520693">
            <w:pPr>
              <w:pStyle w:val="Body-Instructions-Text"/>
              <w:spacing w:before="60"/>
              <w:rPr>
                <w:rFonts w:eastAsia="Times New Roman"/>
              </w:rPr>
            </w:pPr>
            <w:bookmarkStart w:id="0" w:name="_GoBack"/>
            <w:bookmarkEnd w:id="0"/>
            <w:r>
              <w:rPr>
                <w:rFonts w:eastAsia="Times New Roman"/>
                <w:noProof/>
              </w:rPr>
              <w:drawing>
                <wp:anchor distT="0" distB="0" distL="114300" distR="114300" simplePos="0" relativeHeight="251657728" behindDoc="0" locked="0" layoutInCell="1" allowOverlap="1">
                  <wp:simplePos x="0" y="0"/>
                  <wp:positionH relativeFrom="column">
                    <wp:posOffset>2194560</wp:posOffset>
                  </wp:positionH>
                  <wp:positionV relativeFrom="paragraph">
                    <wp:posOffset>891540</wp:posOffset>
                  </wp:positionV>
                  <wp:extent cx="2294890" cy="2294890"/>
                  <wp:effectExtent l="0" t="0" r="0" b="0"/>
                  <wp:wrapSquare wrapText="bothSides"/>
                  <wp:docPr id="9" name="Picture 2" descr="Tamrookum S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rookum SS 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890"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AD2">
              <w:rPr>
                <w:rFonts w:eastAsia="Times New Roman"/>
              </w:rPr>
              <w:t xml:space="preserve">  </w:t>
            </w:r>
          </w:p>
        </w:tc>
      </w:tr>
      <w:tr w:rsidR="001C4AD2" w:rsidRPr="00C36678" w:rsidTr="0063618A">
        <w:trPr>
          <w:trHeight w:hRule="exact" w:val="2268"/>
        </w:trPr>
        <w:tc>
          <w:tcPr>
            <w:tcW w:w="11199" w:type="dxa"/>
            <w:shd w:val="clear" w:color="auto" w:fill="auto"/>
          </w:tcPr>
          <w:p w:rsidR="001C4AD2" w:rsidRPr="00C36678" w:rsidRDefault="001C4AD2" w:rsidP="00BE4FF5">
            <w:pPr>
              <w:pStyle w:val="Cover-Header1"/>
              <w:spacing w:after="60"/>
            </w:pPr>
            <w:r w:rsidRPr="00843077">
              <w:rPr>
                <w:noProof/>
              </w:rPr>
              <w:t>Tamrookum State School</w:t>
            </w:r>
          </w:p>
        </w:tc>
      </w:tr>
      <w:tr w:rsidR="001C4AD2" w:rsidRPr="00C36678" w:rsidTr="0063618A">
        <w:tc>
          <w:tcPr>
            <w:tcW w:w="11199" w:type="dxa"/>
            <w:shd w:val="clear" w:color="auto" w:fill="auto"/>
            <w:vAlign w:val="center"/>
          </w:tcPr>
          <w:p w:rsidR="001C4AD2" w:rsidRPr="00C36678" w:rsidRDefault="001C4AD2" w:rsidP="00BE4FF5">
            <w:pPr>
              <w:pStyle w:val="Cover-AR"/>
            </w:pPr>
            <w:r w:rsidRPr="00C36678">
              <w:t>ANNUAL REPORT</w:t>
            </w:r>
          </w:p>
        </w:tc>
      </w:tr>
      <w:tr w:rsidR="001C4AD2" w:rsidRPr="00C36678" w:rsidTr="0063618A">
        <w:tc>
          <w:tcPr>
            <w:tcW w:w="11199" w:type="dxa"/>
            <w:shd w:val="clear" w:color="auto" w:fill="003D69"/>
            <w:vAlign w:val="center"/>
          </w:tcPr>
          <w:p w:rsidR="001C4AD2" w:rsidRPr="00C36678" w:rsidRDefault="001C4AD2" w:rsidP="00BE4FF5">
            <w:pPr>
              <w:pStyle w:val="Cover-Year"/>
            </w:pPr>
            <w:r>
              <w:t>2019</w:t>
            </w:r>
          </w:p>
        </w:tc>
      </w:tr>
      <w:tr w:rsidR="001C4AD2" w:rsidRPr="00C36678" w:rsidTr="0063618A">
        <w:tc>
          <w:tcPr>
            <w:tcW w:w="11199" w:type="dxa"/>
            <w:shd w:val="clear" w:color="auto" w:fill="003D69"/>
            <w:vAlign w:val="center"/>
          </w:tcPr>
          <w:p w:rsidR="001C4AD2" w:rsidRPr="00C36678" w:rsidRDefault="001C4AD2" w:rsidP="00BE4FF5">
            <w:pPr>
              <w:pStyle w:val="Cover-QldStateSchRept"/>
            </w:pPr>
            <w:r w:rsidRPr="00C36678">
              <w:t>Queensland State School Reporting</w:t>
            </w:r>
          </w:p>
        </w:tc>
      </w:tr>
      <w:tr w:rsidR="001C4AD2" w:rsidRPr="00C36678" w:rsidTr="0063618A">
        <w:tc>
          <w:tcPr>
            <w:tcW w:w="11199" w:type="dxa"/>
            <w:shd w:val="clear" w:color="auto" w:fill="auto"/>
            <w:vAlign w:val="center"/>
          </w:tcPr>
          <w:p w:rsidR="001C4AD2" w:rsidRPr="00C36678" w:rsidRDefault="001C4AD2" w:rsidP="00BE4FF5">
            <w:pPr>
              <w:pStyle w:val="Cover-Header2"/>
            </w:pPr>
          </w:p>
          <w:p w:rsidR="001C4AD2" w:rsidRPr="00C561AD" w:rsidRDefault="001C4AD2" w:rsidP="00BE4FF5">
            <w:pPr>
              <w:pStyle w:val="Cover-Header3"/>
              <w:rPr>
                <w:sz w:val="44"/>
                <w:szCs w:val="44"/>
              </w:rPr>
            </w:pPr>
            <w:r w:rsidRPr="00C561AD">
              <w:rPr>
                <w:sz w:val="44"/>
                <w:szCs w:val="44"/>
              </w:rPr>
              <w:t xml:space="preserve">Every student succeeding </w:t>
            </w:r>
          </w:p>
          <w:p w:rsidR="001C4AD2" w:rsidRPr="00C561AD" w:rsidRDefault="001C4AD2"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1C4AD2" w:rsidRPr="00C36678" w:rsidRDefault="001C4AD2" w:rsidP="00BE4FF5">
            <w:pPr>
              <w:pStyle w:val="Cover-Header4"/>
            </w:pPr>
            <w:r w:rsidRPr="00C561AD">
              <w:rPr>
                <w:sz w:val="28"/>
                <w:szCs w:val="28"/>
              </w:rPr>
              <w:t>Department of Education</w:t>
            </w:r>
          </w:p>
        </w:tc>
      </w:tr>
    </w:tbl>
    <w:p w:rsidR="001C4AD2" w:rsidRPr="00C36678" w:rsidRDefault="001C4AD2" w:rsidP="000C3B7B">
      <w:pPr>
        <w:pStyle w:val="Body-Text"/>
      </w:pPr>
    </w:p>
    <w:p w:rsidR="001C4AD2" w:rsidRPr="00C36678" w:rsidRDefault="001C4AD2" w:rsidP="00556401">
      <w:pPr>
        <w:pStyle w:val="Body-Text"/>
      </w:pPr>
    </w:p>
    <w:p w:rsidR="001C4AD2" w:rsidRPr="00C36678" w:rsidRDefault="001C4AD2" w:rsidP="00DF75DD">
      <w:pPr>
        <w:sectPr w:rsidR="001C4AD2" w:rsidRPr="00C36678" w:rsidSect="001C4AD2">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67" w:footer="567" w:gutter="0"/>
          <w:pgNumType w:start="1"/>
          <w:cols w:space="709"/>
          <w:docGrid w:linePitch="360"/>
        </w:sectPr>
      </w:pPr>
    </w:p>
    <w:p w:rsidR="001C4AD2" w:rsidRPr="006B2326" w:rsidRDefault="001C4AD2"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466"/>
      </w:tblGrid>
      <w:tr w:rsidR="001C4AD2" w:rsidRPr="00C36678" w:rsidTr="0063618A">
        <w:tc>
          <w:tcPr>
            <w:tcW w:w="5000" w:type="pct"/>
            <w:shd w:val="clear" w:color="auto" w:fill="003D69"/>
          </w:tcPr>
          <w:p w:rsidR="001C4AD2" w:rsidRPr="00C36678" w:rsidRDefault="001C4AD2" w:rsidP="0063618A">
            <w:pPr>
              <w:pStyle w:val="Heading1-AR"/>
            </w:pPr>
            <w:r w:rsidRPr="00C36678">
              <w:t>Contact information</w:t>
            </w:r>
          </w:p>
        </w:tc>
      </w:tr>
      <w:tr w:rsidR="001C4AD2" w:rsidRPr="00C36678" w:rsidTr="001D52BA">
        <w:tc>
          <w:tcPr>
            <w:tcW w:w="5000" w:type="pct"/>
            <w:shd w:val="clear" w:color="auto" w:fill="DDDDDD"/>
          </w:tcPr>
          <w:p w:rsidR="001C4AD2" w:rsidRPr="00C36678" w:rsidRDefault="001C4AD2" w:rsidP="0063618A">
            <w:pPr>
              <w:pStyle w:val="Heading12-AR"/>
            </w:pPr>
          </w:p>
        </w:tc>
      </w:tr>
    </w:tbl>
    <w:p w:rsidR="001C4AD2" w:rsidRPr="00C36678" w:rsidRDefault="001C4AD2"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1C4AD2" w:rsidRPr="00C36678" w:rsidTr="00EC022A">
        <w:trPr>
          <w:cantSplit/>
          <w:trHeight w:val="353"/>
        </w:trPr>
        <w:tc>
          <w:tcPr>
            <w:tcW w:w="1320" w:type="pct"/>
            <w:shd w:val="clear" w:color="auto" w:fill="C1ECFF"/>
            <w:vAlign w:val="center"/>
          </w:tcPr>
          <w:p w:rsidR="001C4AD2" w:rsidRPr="00C36678" w:rsidRDefault="001C4AD2" w:rsidP="00F224E9">
            <w:pPr>
              <w:pStyle w:val="Body-Table-Heading"/>
            </w:pPr>
            <w:r w:rsidRPr="00C36678">
              <w:t>Postal address</w:t>
            </w:r>
          </w:p>
        </w:tc>
        <w:tc>
          <w:tcPr>
            <w:tcW w:w="3680" w:type="pct"/>
            <w:vAlign w:val="center"/>
          </w:tcPr>
          <w:p w:rsidR="001C4AD2" w:rsidRPr="00C36678" w:rsidRDefault="001C4AD2" w:rsidP="00797F4A">
            <w:pPr>
              <w:pStyle w:val="Body-Table-Text"/>
              <w:rPr>
                <w:rFonts w:eastAsia="Meiryo"/>
              </w:rPr>
            </w:pPr>
            <w:r w:rsidRPr="00843077">
              <w:t>9019 Mount Lindesay Highway Tamrookum 4285</w:t>
            </w:r>
          </w:p>
        </w:tc>
      </w:tr>
      <w:tr w:rsidR="001C4AD2" w:rsidRPr="00C36678" w:rsidTr="00EC022A">
        <w:trPr>
          <w:cantSplit/>
          <w:trHeight w:val="353"/>
        </w:trPr>
        <w:tc>
          <w:tcPr>
            <w:tcW w:w="1320" w:type="pct"/>
            <w:shd w:val="clear" w:color="auto" w:fill="C1ECFF"/>
            <w:vAlign w:val="center"/>
          </w:tcPr>
          <w:p w:rsidR="001C4AD2" w:rsidRPr="00C36678" w:rsidRDefault="001C4AD2" w:rsidP="00F224E9">
            <w:pPr>
              <w:pStyle w:val="Body-Table-Heading"/>
            </w:pPr>
            <w:r w:rsidRPr="00C36678">
              <w:t>Phone</w:t>
            </w:r>
          </w:p>
        </w:tc>
        <w:tc>
          <w:tcPr>
            <w:tcW w:w="3680" w:type="pct"/>
            <w:vAlign w:val="center"/>
          </w:tcPr>
          <w:p w:rsidR="001C4AD2" w:rsidRPr="00C36678" w:rsidRDefault="001C4AD2" w:rsidP="005D74B3">
            <w:pPr>
              <w:pStyle w:val="Body-Table-Text"/>
              <w:rPr>
                <w:rFonts w:eastAsia="Meiryo"/>
              </w:rPr>
            </w:pPr>
            <w:r w:rsidRPr="00843077">
              <w:rPr>
                <w:sz w:val="16"/>
                <w:szCs w:val="16"/>
              </w:rPr>
              <w:t>(07) 5544 2555</w:t>
            </w:r>
          </w:p>
        </w:tc>
      </w:tr>
      <w:tr w:rsidR="001C4AD2" w:rsidRPr="00C36678" w:rsidTr="00EC022A">
        <w:trPr>
          <w:cantSplit/>
          <w:trHeight w:val="353"/>
        </w:trPr>
        <w:tc>
          <w:tcPr>
            <w:tcW w:w="1320" w:type="pct"/>
            <w:shd w:val="clear" w:color="auto" w:fill="C1ECFF"/>
            <w:vAlign w:val="center"/>
          </w:tcPr>
          <w:p w:rsidR="001C4AD2" w:rsidRPr="00C36678" w:rsidRDefault="001C4AD2" w:rsidP="00F224E9">
            <w:pPr>
              <w:pStyle w:val="Body-Table-Heading"/>
            </w:pPr>
            <w:r w:rsidRPr="00C36678">
              <w:t>Fax</w:t>
            </w:r>
          </w:p>
        </w:tc>
        <w:tc>
          <w:tcPr>
            <w:tcW w:w="3680" w:type="pct"/>
            <w:vAlign w:val="center"/>
          </w:tcPr>
          <w:p w:rsidR="001C4AD2" w:rsidRPr="00C36678" w:rsidRDefault="001C4AD2" w:rsidP="00797F4A">
            <w:pPr>
              <w:pStyle w:val="Body-Table-Text"/>
              <w:rPr>
                <w:color w:val="FF0000"/>
                <w:u w:color="FF0000"/>
              </w:rPr>
            </w:pPr>
            <w:r w:rsidRPr="00843077">
              <w:rPr>
                <w:sz w:val="16"/>
                <w:szCs w:val="16"/>
              </w:rPr>
              <w:t>(07) 5544 2500</w:t>
            </w:r>
          </w:p>
        </w:tc>
      </w:tr>
      <w:tr w:rsidR="001C4AD2" w:rsidRPr="00C36678" w:rsidTr="00EC022A">
        <w:trPr>
          <w:cantSplit/>
          <w:trHeight w:val="353"/>
        </w:trPr>
        <w:tc>
          <w:tcPr>
            <w:tcW w:w="1320" w:type="pct"/>
            <w:shd w:val="clear" w:color="auto" w:fill="C1ECFF"/>
            <w:vAlign w:val="center"/>
          </w:tcPr>
          <w:p w:rsidR="001C4AD2" w:rsidRPr="00C36678" w:rsidRDefault="001C4AD2" w:rsidP="00F224E9">
            <w:pPr>
              <w:pStyle w:val="Body-Table-Heading"/>
            </w:pPr>
            <w:r w:rsidRPr="00C36678">
              <w:t>Email</w:t>
            </w:r>
          </w:p>
        </w:tc>
        <w:tc>
          <w:tcPr>
            <w:tcW w:w="3680" w:type="pct"/>
            <w:vAlign w:val="center"/>
          </w:tcPr>
          <w:p w:rsidR="001C4AD2" w:rsidRPr="00C36678" w:rsidRDefault="001C4AD2" w:rsidP="00797F4A">
            <w:pPr>
              <w:pStyle w:val="Body-Table-Text"/>
              <w:rPr>
                <w:color w:val="FF0000"/>
                <w:u w:color="FF0000"/>
              </w:rPr>
            </w:pPr>
            <w:r w:rsidRPr="00843077">
              <w:rPr>
                <w:sz w:val="16"/>
                <w:szCs w:val="16"/>
              </w:rPr>
              <w:t>principal@tamrookumss.eq.edu.au</w:t>
            </w:r>
          </w:p>
        </w:tc>
      </w:tr>
      <w:tr w:rsidR="001C4AD2" w:rsidRPr="00C36678" w:rsidTr="00EC022A">
        <w:trPr>
          <w:cantSplit/>
          <w:trHeight w:val="353"/>
        </w:trPr>
        <w:tc>
          <w:tcPr>
            <w:tcW w:w="1320" w:type="pct"/>
            <w:shd w:val="clear" w:color="auto" w:fill="C1ECFF"/>
          </w:tcPr>
          <w:p w:rsidR="001C4AD2" w:rsidRPr="00C36678" w:rsidRDefault="001C4AD2" w:rsidP="00F224E9">
            <w:pPr>
              <w:pStyle w:val="Body-Table-Heading"/>
            </w:pPr>
            <w:r w:rsidRPr="00C36678">
              <w:t>Webpages</w:t>
            </w:r>
          </w:p>
        </w:tc>
        <w:tc>
          <w:tcPr>
            <w:tcW w:w="3680" w:type="pct"/>
            <w:vAlign w:val="center"/>
          </w:tcPr>
          <w:p w:rsidR="001C4AD2" w:rsidRPr="00C36678" w:rsidRDefault="001C4AD2" w:rsidP="00797F4A">
            <w:pPr>
              <w:pStyle w:val="Body-Table-Text"/>
              <w:rPr>
                <w:rFonts w:eastAsia="Meiryo"/>
              </w:rPr>
            </w:pPr>
            <w:r w:rsidRPr="00C36678">
              <w:rPr>
                <w:rFonts w:eastAsia="Meiryo"/>
              </w:rPr>
              <w:t>Additional information about Queensland state schools is located on:</w:t>
            </w:r>
          </w:p>
          <w:p w:rsidR="001C4AD2" w:rsidRPr="00C36678" w:rsidRDefault="001C4AD2" w:rsidP="00797F4A">
            <w:pPr>
              <w:pStyle w:val="Body-Table-Bullet"/>
              <w:rPr>
                <w:rFonts w:eastAsia="Meiryo"/>
              </w:rPr>
            </w:pPr>
            <w:r w:rsidRPr="00C36678">
              <w:rPr>
                <w:rFonts w:eastAsia="Meiryo"/>
              </w:rPr>
              <w:t xml:space="preserve">the </w:t>
            </w:r>
            <w:hyperlink r:id="rId15"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1C4AD2" w:rsidRPr="00C36678" w:rsidRDefault="001C4AD2" w:rsidP="00797F4A">
            <w:pPr>
              <w:pStyle w:val="Body-Table-Bullet"/>
              <w:rPr>
                <w:rFonts w:eastAsia="Meiryo"/>
              </w:rPr>
            </w:pPr>
            <w:r w:rsidRPr="00C36678">
              <w:rPr>
                <w:rFonts w:eastAsia="Meiryo"/>
              </w:rPr>
              <w:t xml:space="preserve">the </w:t>
            </w:r>
            <w:hyperlink r:id="rId16" w:history="1">
              <w:r w:rsidRPr="00C36678">
                <w:rPr>
                  <w:rStyle w:val="Hyperlink"/>
                  <w:rFonts w:eastAsia="Meiryo"/>
                  <w:sz w:val="18"/>
                </w:rPr>
                <w:t>Queensland Government data</w:t>
              </w:r>
            </w:hyperlink>
            <w:r w:rsidRPr="00C36678">
              <w:rPr>
                <w:rFonts w:eastAsia="Meiryo"/>
              </w:rPr>
              <w:t xml:space="preserve"> website</w:t>
            </w:r>
          </w:p>
          <w:p w:rsidR="001C4AD2" w:rsidRPr="00C36678" w:rsidRDefault="001C4AD2" w:rsidP="00797F4A">
            <w:pPr>
              <w:pStyle w:val="Body-Table-Bullet"/>
              <w:rPr>
                <w:rFonts w:eastAsia="Meiryo"/>
              </w:rPr>
            </w:pPr>
            <w:r w:rsidRPr="00C36678">
              <w:rPr>
                <w:rFonts w:eastAsia="Meiryo"/>
              </w:rPr>
              <w:t xml:space="preserve">the Queensland Government </w:t>
            </w:r>
            <w:hyperlink r:id="rId17" w:history="1">
              <w:r w:rsidRPr="00C36678">
                <w:rPr>
                  <w:rStyle w:val="Hyperlink"/>
                  <w:rFonts w:eastAsia="Meiryo"/>
                  <w:sz w:val="18"/>
                </w:rPr>
                <w:t>schools directory</w:t>
              </w:r>
            </w:hyperlink>
            <w:r w:rsidRPr="00C36678">
              <w:rPr>
                <w:rFonts w:eastAsia="Meiryo"/>
              </w:rPr>
              <w:t xml:space="preserve"> website.</w:t>
            </w:r>
          </w:p>
        </w:tc>
      </w:tr>
    </w:tbl>
    <w:p w:rsidR="001C4AD2" w:rsidRDefault="001C4AD2" w:rsidP="00E60834">
      <w:pPr>
        <w:pStyle w:val="Body-Text"/>
      </w:pPr>
    </w:p>
    <w:p w:rsidR="001C4AD2" w:rsidRDefault="001C4AD2" w:rsidP="00E60834">
      <w:pPr>
        <w:pStyle w:val="Body-Text"/>
      </w:pPr>
    </w:p>
    <w:p w:rsidR="001C4AD2" w:rsidRPr="0030463A" w:rsidRDefault="001C4AD2" w:rsidP="0030463A">
      <w:pPr>
        <w:sectPr w:rsidR="001C4AD2" w:rsidRPr="0030463A" w:rsidSect="00674F88">
          <w:footerReference w:type="default" r:id="rId18"/>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1C4AD2" w:rsidRPr="00C36678" w:rsidTr="00EC022A">
        <w:tc>
          <w:tcPr>
            <w:tcW w:w="5000" w:type="pct"/>
            <w:shd w:val="clear" w:color="auto" w:fill="003D69"/>
          </w:tcPr>
          <w:p w:rsidR="001C4AD2" w:rsidRPr="00C36678" w:rsidRDefault="001C4AD2" w:rsidP="008A3DA7">
            <w:pPr>
              <w:pStyle w:val="Heading1NewPage-AR"/>
            </w:pPr>
            <w:r w:rsidRPr="00C36678">
              <w:t>From the Principal</w:t>
            </w:r>
          </w:p>
        </w:tc>
      </w:tr>
      <w:tr w:rsidR="001C4AD2" w:rsidRPr="00C36678" w:rsidTr="00EC022A">
        <w:tc>
          <w:tcPr>
            <w:tcW w:w="5000" w:type="pct"/>
            <w:shd w:val="clear" w:color="auto" w:fill="DDDDDD"/>
          </w:tcPr>
          <w:p w:rsidR="001C4AD2" w:rsidRPr="00C36678" w:rsidRDefault="001C4AD2" w:rsidP="0063618A">
            <w:pPr>
              <w:pStyle w:val="Heading12-AR"/>
            </w:pPr>
          </w:p>
        </w:tc>
      </w:tr>
    </w:tbl>
    <w:p w:rsidR="001C4AD2" w:rsidRPr="00C36678" w:rsidRDefault="001C4AD2" w:rsidP="00354AA9">
      <w:pPr>
        <w:pStyle w:val="Body-Text"/>
      </w:pPr>
    </w:p>
    <w:p w:rsidR="001C4AD2" w:rsidRPr="00C36678" w:rsidRDefault="001C4AD2" w:rsidP="00AE6C76">
      <w:pPr>
        <w:pStyle w:val="Body-Text-Smallspace"/>
      </w:pPr>
    </w:p>
    <w:p w:rsidR="001C4AD2" w:rsidRDefault="001C4AD2" w:rsidP="005B2C67">
      <w:pPr>
        <w:pStyle w:val="Heading3-AR"/>
      </w:pPr>
      <w:r w:rsidRPr="00C36678">
        <w:t>School overview</w:t>
      </w:r>
    </w:p>
    <w:p w:rsidR="001C4AD2" w:rsidRPr="00214F8D" w:rsidRDefault="001C4AD2" w:rsidP="00060AEE">
      <w:pPr>
        <w:pStyle w:val="Body-Text"/>
      </w:pPr>
      <w:r>
        <w:rPr>
          <w:noProof/>
        </w:rPr>
        <w:t>Tamrookum State School is a small rural school 17 km</w:t>
      </w:r>
      <w:r w:rsidR="00122AD4">
        <w:rPr>
          <w:noProof/>
        </w:rPr>
        <w:t>s from Beaudesert. We have Prep/</w:t>
      </w:r>
      <w:r>
        <w:rPr>
          <w:noProof/>
        </w:rPr>
        <w:t>1</w:t>
      </w:r>
      <w:r w:rsidR="00122AD4">
        <w:rPr>
          <w:noProof/>
        </w:rPr>
        <w:t xml:space="preserve">, Yr 1/2, Yr 3/4, Yr 4/5 and Yr 5/6 </w:t>
      </w:r>
      <w:r>
        <w:rPr>
          <w:noProof/>
        </w:rPr>
        <w:t>classes and have a key focus upon Literacy &amp; Numeracy. Each classroom receives an additional 2 hrs aide support to assist individuals with their learning and to maximise learning for all students. As well as our balanced curriculm offerings in all KLAs</w:t>
      </w:r>
      <w:r w:rsidR="00122AD4">
        <w:rPr>
          <w:noProof/>
        </w:rPr>
        <w:t xml:space="preserve">, we have Dance Fever activities each term: Term 1: Skipping, Term 2: Athletics, Term 3: Dance and Term 4: Gymnastics.  </w:t>
      </w:r>
      <w:r>
        <w:rPr>
          <w:noProof/>
        </w:rPr>
        <w:t xml:space="preserve">The local area, with schools of similar size, combines to form a strong, supportive cluster in sport, social and </w:t>
      </w:r>
      <w:r w:rsidR="00122AD4">
        <w:rPr>
          <w:noProof/>
        </w:rPr>
        <w:t>academic endeavours. Our Student Council</w:t>
      </w:r>
      <w:r>
        <w:rPr>
          <w:noProof/>
        </w:rPr>
        <w:t xml:space="preserve"> is extremely dedicated and supportive in the implementation of school initiatives and the provision of resources to accompany programs.Our school has developed a strong identity within the community as a provider of educational opportunity second to none.</w:t>
      </w:r>
    </w:p>
    <w:p w:rsidR="001C4AD2" w:rsidRPr="00C36678" w:rsidRDefault="001C4AD2"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1C4AD2" w:rsidRPr="00C36678" w:rsidTr="00AD614C">
        <w:tc>
          <w:tcPr>
            <w:tcW w:w="5000" w:type="pct"/>
            <w:shd w:val="clear" w:color="auto" w:fill="003D69"/>
          </w:tcPr>
          <w:p w:rsidR="001C4AD2" w:rsidRPr="00C36678" w:rsidRDefault="001C4AD2" w:rsidP="0006486B">
            <w:pPr>
              <w:pStyle w:val="Heading1-AR"/>
            </w:pPr>
            <w:r w:rsidRPr="00C36678">
              <w:t>Our school at a glance</w:t>
            </w:r>
          </w:p>
        </w:tc>
      </w:tr>
      <w:tr w:rsidR="001C4AD2" w:rsidRPr="00C36678" w:rsidTr="00AD614C">
        <w:tc>
          <w:tcPr>
            <w:tcW w:w="5000" w:type="pct"/>
            <w:shd w:val="clear" w:color="auto" w:fill="DDDDDD"/>
          </w:tcPr>
          <w:p w:rsidR="001C4AD2" w:rsidRPr="00C36678" w:rsidRDefault="001C4AD2" w:rsidP="0063618A">
            <w:pPr>
              <w:pStyle w:val="Heading12-AR"/>
            </w:pPr>
          </w:p>
        </w:tc>
      </w:tr>
    </w:tbl>
    <w:p w:rsidR="001C4AD2" w:rsidRPr="00C36678" w:rsidRDefault="001C4AD2" w:rsidP="00354AA9">
      <w:pPr>
        <w:pStyle w:val="Body-Text"/>
      </w:pPr>
    </w:p>
    <w:p w:rsidR="001C4AD2" w:rsidRPr="00C36678" w:rsidRDefault="001C4AD2" w:rsidP="00AE6C76">
      <w:pPr>
        <w:pStyle w:val="Body-Text-Smallspace"/>
      </w:pPr>
    </w:p>
    <w:p w:rsidR="001C4AD2" w:rsidRPr="00C36678" w:rsidRDefault="001C4AD2"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0"/>
        <w:gridCol w:w="6060"/>
      </w:tblGrid>
      <w:tr w:rsidR="001C4AD2" w:rsidRPr="00C36678" w:rsidTr="00AD614C">
        <w:trPr>
          <w:trHeight w:val="298"/>
          <w:jc w:val="center"/>
        </w:trPr>
        <w:tc>
          <w:tcPr>
            <w:tcW w:w="1824" w:type="pct"/>
            <w:shd w:val="clear" w:color="auto" w:fill="auto"/>
          </w:tcPr>
          <w:p w:rsidR="001C4AD2" w:rsidRPr="00C36678" w:rsidRDefault="001C4AD2" w:rsidP="00E104FD">
            <w:pPr>
              <w:pStyle w:val="Body-Table-HeadingBig"/>
            </w:pPr>
            <w:r w:rsidRPr="00C36678">
              <w:t>Coeducational or single sex</w:t>
            </w:r>
          </w:p>
        </w:tc>
        <w:tc>
          <w:tcPr>
            <w:tcW w:w="3176" w:type="pct"/>
          </w:tcPr>
          <w:p w:rsidR="001C4AD2" w:rsidRPr="00C36678" w:rsidRDefault="001C4AD2" w:rsidP="00E104FD">
            <w:pPr>
              <w:pStyle w:val="Body-Table-Text2"/>
              <w:rPr>
                <w:szCs w:val="16"/>
              </w:rPr>
            </w:pPr>
            <w:r w:rsidRPr="00C36678">
              <w:t>Coeducational</w:t>
            </w:r>
          </w:p>
        </w:tc>
      </w:tr>
      <w:tr w:rsidR="001C4AD2" w:rsidRPr="00C36678" w:rsidTr="00AD614C">
        <w:trPr>
          <w:trHeight w:val="302"/>
          <w:jc w:val="center"/>
        </w:trPr>
        <w:tc>
          <w:tcPr>
            <w:tcW w:w="1824" w:type="pct"/>
            <w:shd w:val="clear" w:color="auto" w:fill="auto"/>
          </w:tcPr>
          <w:p w:rsidR="001C4AD2" w:rsidRPr="00C36678" w:rsidRDefault="001C4AD2" w:rsidP="00E104FD">
            <w:pPr>
              <w:pStyle w:val="Body-Table-HeadingBig"/>
            </w:pPr>
            <w:r w:rsidRPr="00C36678">
              <w:t>Independent public school</w:t>
            </w:r>
          </w:p>
        </w:tc>
        <w:tc>
          <w:tcPr>
            <w:tcW w:w="3176" w:type="pct"/>
          </w:tcPr>
          <w:p w:rsidR="001C4AD2" w:rsidRPr="00ED3657" w:rsidRDefault="001C4AD2" w:rsidP="00ED3657">
            <w:pPr>
              <w:pStyle w:val="Body-Table-Text2"/>
            </w:pPr>
            <w:r>
              <w:rPr>
                <w:noProof/>
              </w:rPr>
              <w:t>No</w:t>
            </w:r>
          </w:p>
        </w:tc>
      </w:tr>
      <w:tr w:rsidR="001C4AD2" w:rsidRPr="00C36678" w:rsidTr="00AD614C">
        <w:trPr>
          <w:trHeight w:val="302"/>
          <w:jc w:val="center"/>
        </w:trPr>
        <w:tc>
          <w:tcPr>
            <w:tcW w:w="1824" w:type="pct"/>
            <w:shd w:val="clear" w:color="auto" w:fill="auto"/>
          </w:tcPr>
          <w:p w:rsidR="001C4AD2" w:rsidRPr="00C36678" w:rsidRDefault="001C4AD2" w:rsidP="00E104FD">
            <w:pPr>
              <w:pStyle w:val="Body-Table-HeadingBig"/>
            </w:pPr>
            <w:r w:rsidRPr="00C36678">
              <w:t xml:space="preserve">Year levels offered in </w:t>
            </w:r>
            <w:r>
              <w:t>2019</w:t>
            </w:r>
          </w:p>
        </w:tc>
        <w:tc>
          <w:tcPr>
            <w:tcW w:w="3176" w:type="pct"/>
          </w:tcPr>
          <w:p w:rsidR="001C4AD2" w:rsidRPr="00ED3657" w:rsidRDefault="001C4AD2" w:rsidP="00ED3657">
            <w:pPr>
              <w:pStyle w:val="Body-Table-Text2"/>
            </w:pPr>
            <w:r>
              <w:rPr>
                <w:noProof/>
              </w:rPr>
              <w:t>Prep Year - Year 6</w:t>
            </w:r>
          </w:p>
        </w:tc>
      </w:tr>
    </w:tbl>
    <w:p w:rsidR="001C4AD2" w:rsidRDefault="001C4AD2"/>
    <w:p w:rsidR="001C4AD2" w:rsidRPr="00C36678" w:rsidRDefault="001C4AD2" w:rsidP="006B2326">
      <w:pPr>
        <w:pStyle w:val="Body-Text-Smallspace"/>
      </w:pPr>
    </w:p>
    <w:p w:rsidR="001C4AD2" w:rsidRPr="00C36678" w:rsidRDefault="001C4AD2"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1C4AD2" w:rsidRPr="00C36678" w:rsidTr="00AD614C">
        <w:trPr>
          <w:trHeight w:val="64"/>
          <w:jc w:val="center"/>
        </w:trPr>
        <w:tc>
          <w:tcPr>
            <w:tcW w:w="1824" w:type="pct"/>
            <w:shd w:val="clear" w:color="auto" w:fill="auto"/>
          </w:tcPr>
          <w:p w:rsidR="001C4AD2" w:rsidRPr="00C36678" w:rsidRDefault="001C4AD2" w:rsidP="0006486B">
            <w:pPr>
              <w:pStyle w:val="Body-Table-HeadingBig"/>
              <w:keepNext/>
            </w:pPr>
            <w:r w:rsidRPr="00C36678">
              <w:t>Student enrolments</w:t>
            </w:r>
          </w:p>
        </w:tc>
        <w:tc>
          <w:tcPr>
            <w:tcW w:w="3176" w:type="pct"/>
            <w:gridSpan w:val="4"/>
            <w:shd w:val="clear" w:color="auto" w:fill="auto"/>
          </w:tcPr>
          <w:p w:rsidR="001C4AD2" w:rsidRPr="00C36678" w:rsidRDefault="001C4AD2" w:rsidP="00CD1FF9">
            <w:pPr>
              <w:pStyle w:val="Body-Table-Text2"/>
            </w:pPr>
          </w:p>
        </w:tc>
      </w:tr>
      <w:tr w:rsidR="001C4AD2" w:rsidRPr="00C36678" w:rsidTr="00AD614C">
        <w:trPr>
          <w:trHeight w:val="64"/>
          <w:jc w:val="center"/>
        </w:trPr>
        <w:tc>
          <w:tcPr>
            <w:tcW w:w="1824" w:type="pct"/>
            <w:shd w:val="clear" w:color="auto" w:fill="auto"/>
          </w:tcPr>
          <w:p w:rsidR="001C4AD2" w:rsidRPr="00C36678" w:rsidRDefault="001C4AD2" w:rsidP="00CD1FF9">
            <w:pPr>
              <w:pStyle w:val="Body-Text-Smallspace"/>
            </w:pPr>
          </w:p>
          <w:p w:rsidR="001C4AD2" w:rsidRPr="00C36678" w:rsidRDefault="001C4AD2" w:rsidP="00CD1FF9">
            <w:pPr>
              <w:pStyle w:val="TableCaption-AR"/>
            </w:pPr>
            <w:r w:rsidRPr="00C36678">
              <w:t>Table 1: Student enrolments at this school</w:t>
            </w:r>
          </w:p>
        </w:tc>
        <w:tc>
          <w:tcPr>
            <w:tcW w:w="3176" w:type="pct"/>
            <w:gridSpan w:val="4"/>
            <w:shd w:val="clear" w:color="auto" w:fill="auto"/>
          </w:tcPr>
          <w:p w:rsidR="001C4AD2" w:rsidRPr="00C36678" w:rsidRDefault="001C4AD2" w:rsidP="00CD1FF9">
            <w:pPr>
              <w:pStyle w:val="Body-Table-Text2"/>
            </w:pPr>
          </w:p>
        </w:tc>
      </w:tr>
      <w:tr w:rsidR="001C4AD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1C4AD2" w:rsidRPr="00C36678" w:rsidRDefault="001C4AD2" w:rsidP="004D4B7E">
            <w:pPr>
              <w:pStyle w:val="Body-Text-Smallspace"/>
              <w:ind w:left="117"/>
            </w:pPr>
          </w:p>
          <w:p w:rsidR="001C4AD2" w:rsidRPr="00C36678" w:rsidRDefault="001C4AD2" w:rsidP="004D4B7E">
            <w:pPr>
              <w:pStyle w:val="Body-Table-Note"/>
              <w:ind w:left="117"/>
              <w:rPr>
                <w:u w:color="FF0000"/>
              </w:rPr>
            </w:pPr>
            <w:r w:rsidRPr="00C36678">
              <w:rPr>
                <w:u w:color="FF0000"/>
              </w:rPr>
              <w:t xml:space="preserve">Notes: </w:t>
            </w:r>
          </w:p>
          <w:p w:rsidR="001C4AD2" w:rsidRPr="00C36678" w:rsidRDefault="001C4AD2"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1C4AD2" w:rsidRPr="00C36678" w:rsidRDefault="001C4AD2"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1C4AD2" w:rsidRPr="00C36678" w:rsidRDefault="001C4AD2" w:rsidP="0025442F">
            <w:pPr>
              <w:pStyle w:val="Body-Table-Note"/>
              <w:tabs>
                <w:tab w:val="left" w:pos="300"/>
              </w:tabs>
              <w:ind w:left="314" w:hanging="197"/>
            </w:pPr>
            <w:r w:rsidRPr="00C36678">
              <w:rPr>
                <w:rFonts w:eastAsia="Meiryo"/>
              </w:rPr>
              <w:t>3.</w:t>
            </w:r>
            <w:r w:rsidRPr="00C36678">
              <w:rPr>
                <w:rFonts w:eastAsia="Meiryo"/>
              </w:rPr>
              <w:tab/>
            </w:r>
            <w:hyperlink r:id="rId19"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1C4AD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sz w:val="16"/>
                <w:szCs w:val="16"/>
              </w:rPr>
              <w:t>141</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130</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123</w:t>
            </w:r>
          </w:p>
        </w:tc>
        <w:tc>
          <w:tcPr>
            <w:tcW w:w="1847" w:type="pct"/>
            <w:vMerge/>
            <w:tcBorders>
              <w:left w:val="single" w:sz="4" w:space="0" w:color="808080"/>
            </w:tcBorders>
            <w:shd w:val="clear" w:color="auto" w:fill="auto"/>
          </w:tcPr>
          <w:p w:rsidR="001C4AD2" w:rsidRPr="00C36678" w:rsidRDefault="001C4AD2" w:rsidP="00CD1FF9">
            <w:pPr>
              <w:pStyle w:val="Body-Table-TextCentred"/>
            </w:pPr>
          </w:p>
        </w:tc>
      </w:tr>
      <w:tr w:rsidR="001C4AD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sz w:val="16"/>
                <w:szCs w:val="16"/>
              </w:rPr>
              <w:t>72</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66</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333A4F">
            <w:pPr>
              <w:pStyle w:val="Body-Table-TextCentred"/>
              <w:keepNext/>
            </w:pPr>
            <w:r w:rsidRPr="00843077">
              <w:rPr>
                <w:noProof/>
              </w:rPr>
              <w:t>62</w:t>
            </w:r>
          </w:p>
        </w:tc>
        <w:tc>
          <w:tcPr>
            <w:tcW w:w="1847" w:type="pct"/>
            <w:vMerge/>
            <w:tcBorders>
              <w:left w:val="single" w:sz="4" w:space="0" w:color="808080"/>
            </w:tcBorders>
            <w:shd w:val="clear" w:color="auto" w:fill="auto"/>
          </w:tcPr>
          <w:p w:rsidR="001C4AD2" w:rsidRPr="00C36678" w:rsidRDefault="001C4AD2" w:rsidP="00CD1FF9">
            <w:pPr>
              <w:pStyle w:val="Body-Table-TextCentred"/>
            </w:pPr>
          </w:p>
        </w:tc>
      </w:tr>
      <w:tr w:rsidR="001C4AD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69</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64</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333A4F">
            <w:pPr>
              <w:pStyle w:val="Body-Table-TextCentred"/>
              <w:keepNext/>
            </w:pPr>
            <w:r w:rsidRPr="00843077">
              <w:rPr>
                <w:noProof/>
              </w:rPr>
              <w:t>61</w:t>
            </w:r>
          </w:p>
        </w:tc>
        <w:tc>
          <w:tcPr>
            <w:tcW w:w="1847" w:type="pct"/>
            <w:vMerge/>
            <w:tcBorders>
              <w:left w:val="single" w:sz="4" w:space="0" w:color="808080"/>
            </w:tcBorders>
            <w:shd w:val="clear" w:color="auto" w:fill="auto"/>
          </w:tcPr>
          <w:p w:rsidR="001C4AD2" w:rsidRPr="00C36678" w:rsidRDefault="001C4AD2" w:rsidP="00CD1FF9">
            <w:pPr>
              <w:pStyle w:val="Body-Table-TextCentred"/>
            </w:pPr>
          </w:p>
        </w:tc>
      </w:tr>
      <w:tr w:rsidR="001C4AD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12</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15</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333A4F">
            <w:pPr>
              <w:pStyle w:val="Body-Table-TextCentred"/>
              <w:keepNext/>
            </w:pPr>
            <w:r w:rsidRPr="00843077">
              <w:rPr>
                <w:noProof/>
              </w:rPr>
              <w:t>16</w:t>
            </w:r>
          </w:p>
        </w:tc>
        <w:tc>
          <w:tcPr>
            <w:tcW w:w="1847" w:type="pct"/>
            <w:vMerge/>
            <w:tcBorders>
              <w:left w:val="single" w:sz="4" w:space="0" w:color="808080"/>
            </w:tcBorders>
            <w:shd w:val="clear" w:color="auto" w:fill="auto"/>
          </w:tcPr>
          <w:p w:rsidR="001C4AD2" w:rsidRPr="00C36678" w:rsidRDefault="001C4AD2" w:rsidP="00CD1FF9">
            <w:pPr>
              <w:pStyle w:val="Body-Table-TextCentred"/>
            </w:pPr>
          </w:p>
        </w:tc>
      </w:tr>
      <w:tr w:rsidR="001C4AD2"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95%</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pPr>
            <w:r w:rsidRPr="00843077">
              <w:rPr>
                <w:noProof/>
              </w:rPr>
              <w:t>84%</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333A4F">
            <w:pPr>
              <w:pStyle w:val="Body-Table-TextCentred"/>
              <w:keepNext/>
            </w:pPr>
            <w:r w:rsidRPr="00843077">
              <w:rPr>
                <w:noProof/>
              </w:rPr>
              <w:t>89%</w:t>
            </w:r>
          </w:p>
        </w:tc>
        <w:tc>
          <w:tcPr>
            <w:tcW w:w="1847" w:type="pct"/>
            <w:vMerge/>
            <w:tcBorders>
              <w:left w:val="single" w:sz="4" w:space="0" w:color="808080"/>
            </w:tcBorders>
            <w:shd w:val="clear" w:color="auto" w:fill="auto"/>
          </w:tcPr>
          <w:p w:rsidR="001C4AD2" w:rsidRPr="00C36678" w:rsidRDefault="001C4AD2" w:rsidP="00CD1FF9">
            <w:pPr>
              <w:pStyle w:val="Body-Table-TextCentred"/>
            </w:pPr>
          </w:p>
        </w:tc>
      </w:tr>
    </w:tbl>
    <w:p w:rsidR="001C4AD2" w:rsidRDefault="001C4AD2" w:rsidP="00A954D3">
      <w:pPr>
        <w:pStyle w:val="Body-Text"/>
      </w:pPr>
    </w:p>
    <w:p w:rsidR="001C4AD2" w:rsidRDefault="001C4AD2" w:rsidP="00A954D3">
      <w:pPr>
        <w:pStyle w:val="Body-Text"/>
      </w:pPr>
      <w:r w:rsidRPr="0025442F">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122AD4" w:rsidRDefault="00122AD4" w:rsidP="00A954D3">
      <w:pPr>
        <w:pStyle w:val="Body-Text"/>
      </w:pPr>
    </w:p>
    <w:p w:rsidR="00122AD4" w:rsidRDefault="007F47C4" w:rsidP="00A954D3">
      <w:pPr>
        <w:pStyle w:val="Body-Text"/>
        <w:rPr>
          <w:b/>
          <w:sz w:val="23"/>
          <w:szCs w:val="23"/>
        </w:rPr>
      </w:pPr>
      <w:r>
        <w:rPr>
          <w:b/>
          <w:sz w:val="23"/>
          <w:szCs w:val="23"/>
        </w:rPr>
        <w:t>Overview</w:t>
      </w:r>
    </w:p>
    <w:p w:rsidR="007F47C4" w:rsidRDefault="007F47C4" w:rsidP="00A954D3">
      <w:pPr>
        <w:pStyle w:val="Body-Text"/>
        <w:rPr>
          <w:b/>
          <w:szCs w:val="19"/>
        </w:rPr>
      </w:pPr>
    </w:p>
    <w:p w:rsidR="00717E9B" w:rsidRDefault="00717E9B" w:rsidP="00A954D3">
      <w:pPr>
        <w:pStyle w:val="Body-Text"/>
        <w:rPr>
          <w:szCs w:val="19"/>
        </w:rPr>
      </w:pPr>
      <w:r>
        <w:rPr>
          <w:szCs w:val="19"/>
        </w:rPr>
        <w:t>Tamrookum State School is located in the Scenic Rim 70 minute South of Brisbane.  The student population is captured from the local farming community and the village of Kooralbyn.</w:t>
      </w:r>
    </w:p>
    <w:p w:rsidR="00717E9B" w:rsidRDefault="00717E9B" w:rsidP="00A954D3">
      <w:pPr>
        <w:pStyle w:val="Body-Text"/>
        <w:rPr>
          <w:szCs w:val="19"/>
        </w:rPr>
      </w:pPr>
      <w:r>
        <w:rPr>
          <w:szCs w:val="19"/>
        </w:rPr>
        <w:t xml:space="preserve">The families associated from this community vary quite considerably; from farming families </w:t>
      </w:r>
      <w:r w:rsidR="00520693">
        <w:rPr>
          <w:szCs w:val="19"/>
        </w:rPr>
        <w:t>to home employed families.</w:t>
      </w:r>
    </w:p>
    <w:p w:rsidR="00520693" w:rsidRDefault="00520693" w:rsidP="00A954D3">
      <w:pPr>
        <w:pStyle w:val="Body-Text"/>
        <w:rPr>
          <w:szCs w:val="19"/>
        </w:rPr>
      </w:pPr>
      <w:r>
        <w:rPr>
          <w:szCs w:val="19"/>
        </w:rPr>
        <w:t>Our local community is proud of their school and do their utmost to support their children and the staff of Tamrookum State School.</w:t>
      </w:r>
    </w:p>
    <w:p w:rsidR="00520693" w:rsidRDefault="00520693" w:rsidP="00A954D3">
      <w:pPr>
        <w:pStyle w:val="Body-Text"/>
        <w:rPr>
          <w:szCs w:val="19"/>
        </w:rPr>
      </w:pPr>
      <w:r>
        <w:rPr>
          <w:szCs w:val="19"/>
        </w:rPr>
        <w:t>Over the past five years, the number of enrolments at Tamrookum State School has stayed around 125, evident in enrolment data.  All student are from English speaking backgrounds and are from diverse clusters.</w:t>
      </w:r>
    </w:p>
    <w:p w:rsidR="00520693" w:rsidRPr="00717E9B" w:rsidRDefault="00520693" w:rsidP="00A954D3">
      <w:pPr>
        <w:pStyle w:val="Body-Text"/>
        <w:rPr>
          <w:szCs w:val="19"/>
        </w:rPr>
      </w:pPr>
      <w:r>
        <w:rPr>
          <w:szCs w:val="19"/>
        </w:rPr>
        <w:t xml:space="preserve">We have approximately 10% indigenous students throughout the school. </w:t>
      </w:r>
    </w:p>
    <w:p w:rsidR="007F47C4" w:rsidRPr="00717E9B" w:rsidRDefault="007F47C4" w:rsidP="00A954D3">
      <w:pPr>
        <w:pStyle w:val="Body-Text"/>
        <w:rPr>
          <w:b/>
          <w:szCs w:val="19"/>
        </w:rPr>
      </w:pPr>
    </w:p>
    <w:p w:rsidR="001C4AD2" w:rsidRPr="00C36678" w:rsidRDefault="001C4AD2" w:rsidP="003760B6">
      <w:pPr>
        <w:pStyle w:val="Body-Text"/>
      </w:pPr>
    </w:p>
    <w:p w:rsidR="001C4AD2" w:rsidRPr="00C36678" w:rsidRDefault="001C4AD2" w:rsidP="00AE6C76">
      <w:pPr>
        <w:pStyle w:val="Body-Text-Smallspace"/>
      </w:pPr>
    </w:p>
    <w:p w:rsidR="001C4AD2" w:rsidRPr="00C36678" w:rsidRDefault="001C4AD2" w:rsidP="003760B6">
      <w:pPr>
        <w:pStyle w:val="Heading3-AR"/>
      </w:pPr>
      <w:r w:rsidRPr="00C36678">
        <w:t>Average class sizes</w:t>
      </w:r>
    </w:p>
    <w:p w:rsidR="001C4AD2" w:rsidRPr="00C36678" w:rsidRDefault="001C4AD2" w:rsidP="00162A9B">
      <w:pPr>
        <w:pStyle w:val="Body-Text-Smallspace"/>
      </w:pPr>
    </w:p>
    <w:p w:rsidR="001C4AD2" w:rsidRPr="00C36678" w:rsidRDefault="001C4AD2"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1C4AD2"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1C4AD2" w:rsidRPr="00C36678" w:rsidRDefault="001C4AD2"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1C4AD2" w:rsidRPr="00C36678" w:rsidRDefault="001C4AD2" w:rsidP="00503CB9">
            <w:pPr>
              <w:pStyle w:val="Body-Text-Smallspace"/>
            </w:pPr>
          </w:p>
          <w:p w:rsidR="001C4AD2" w:rsidRPr="00C36678" w:rsidRDefault="001C4AD2" w:rsidP="00503CB9">
            <w:pPr>
              <w:pStyle w:val="Body-Table-Note"/>
              <w:ind w:left="28"/>
            </w:pPr>
            <w:r w:rsidRPr="00C36678">
              <w:t>Note:</w:t>
            </w:r>
          </w:p>
          <w:p w:rsidR="001C4AD2" w:rsidRPr="00C36678" w:rsidRDefault="001C4AD2" w:rsidP="00503CB9">
            <w:pPr>
              <w:pStyle w:val="Body-Table-Note"/>
              <w:ind w:left="28"/>
              <w:rPr>
                <w:u w:color="FF0000"/>
              </w:rPr>
            </w:pPr>
            <w:r w:rsidRPr="00C36678">
              <w:t xml:space="preserve">The </w:t>
            </w:r>
            <w:hyperlink r:id="rId20"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1C4AD2"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rPr>
                <w:color w:val="000000"/>
                <w:szCs w:val="16"/>
                <w:u w:color="FF0000"/>
                <w:lang w:eastAsia="en-US"/>
              </w:rPr>
            </w:pPr>
            <w:r w:rsidRPr="00843077">
              <w:rPr>
                <w:noProof/>
                <w:color w:val="000000"/>
                <w:szCs w:val="16"/>
                <w:u w:color="FF0000"/>
              </w:rPr>
              <w:t>22</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rPr>
                <w:color w:val="000000"/>
                <w:szCs w:val="16"/>
                <w:u w:color="FF0000"/>
                <w:lang w:eastAsia="en-US"/>
              </w:rPr>
            </w:pPr>
            <w:r w:rsidRPr="00843077">
              <w:rPr>
                <w:noProof/>
                <w:color w:val="000000"/>
                <w:szCs w:val="16"/>
                <w:u w:color="FF0000"/>
              </w:rPr>
              <w:t>18</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Centred"/>
              <w:keepNext/>
              <w:rPr>
                <w:color w:val="000000"/>
                <w:szCs w:val="16"/>
                <w:u w:color="FF0000"/>
                <w:lang w:eastAsia="en-US"/>
              </w:rPr>
            </w:pPr>
            <w:r w:rsidRPr="00843077">
              <w:rPr>
                <w:noProof/>
                <w:color w:val="000000"/>
                <w:szCs w:val="16"/>
                <w:u w:color="FF0000"/>
              </w:rPr>
              <w:t>25</w:t>
            </w:r>
          </w:p>
        </w:tc>
        <w:tc>
          <w:tcPr>
            <w:tcW w:w="2469" w:type="pct"/>
            <w:vMerge/>
            <w:tcBorders>
              <w:left w:val="single" w:sz="4" w:space="0" w:color="808080"/>
              <w:right w:val="nil"/>
            </w:tcBorders>
            <w:shd w:val="clear" w:color="auto" w:fill="auto"/>
          </w:tcPr>
          <w:p w:rsidR="001C4AD2" w:rsidRPr="00C36678" w:rsidRDefault="001C4AD2" w:rsidP="00D202D9">
            <w:pPr>
              <w:pStyle w:val="Body-Table-Text"/>
              <w:rPr>
                <w:rFonts w:eastAsia="Meiryo"/>
                <w:u w:color="FF0000"/>
              </w:rPr>
            </w:pPr>
          </w:p>
        </w:tc>
      </w:tr>
      <w:tr w:rsidR="001C4AD2"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rPr>
                <w:color w:val="000000"/>
                <w:szCs w:val="16"/>
                <w:u w:color="FF0000"/>
                <w:lang w:eastAsia="en-US"/>
              </w:rPr>
            </w:pPr>
            <w:r w:rsidRPr="00843077">
              <w:rPr>
                <w:noProof/>
                <w:color w:val="000000"/>
                <w:szCs w:val="16"/>
                <w:u w:color="FF0000"/>
              </w:rPr>
              <w:t>24</w:t>
            </w:r>
          </w:p>
        </w:tc>
        <w:tc>
          <w:tcPr>
            <w:tcW w:w="443" w:type="pct"/>
            <w:tcBorders>
              <w:top w:val="single" w:sz="4" w:space="0" w:color="808080"/>
              <w:left w:val="single" w:sz="4" w:space="0" w:color="808080"/>
              <w:bottom w:val="single" w:sz="4" w:space="0" w:color="808080"/>
              <w:right w:val="single" w:sz="4" w:space="0" w:color="808080"/>
            </w:tcBorders>
            <w:vAlign w:val="center"/>
          </w:tcPr>
          <w:p w:rsidR="001C4AD2" w:rsidRPr="00C36678" w:rsidRDefault="001C4AD2" w:rsidP="00162A9B">
            <w:pPr>
              <w:pStyle w:val="Body-Table-TextCentred"/>
              <w:keepNext/>
              <w:rPr>
                <w:color w:val="000000"/>
                <w:szCs w:val="16"/>
                <w:u w:color="FF0000"/>
                <w:lang w:eastAsia="en-US"/>
              </w:rPr>
            </w:pPr>
            <w:r w:rsidRPr="00843077">
              <w:rPr>
                <w:noProof/>
                <w:color w:val="000000"/>
                <w:szCs w:val="16"/>
                <w:u w:color="FF0000"/>
              </w:rPr>
              <w:t>23</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1C4AD2" w:rsidRPr="00C36678" w:rsidRDefault="001C4AD2" w:rsidP="00333A4F">
            <w:pPr>
              <w:pStyle w:val="Body-Table-TextCentred"/>
              <w:keepNext/>
              <w:rPr>
                <w:color w:val="000000"/>
                <w:szCs w:val="16"/>
                <w:u w:color="FF0000"/>
                <w:lang w:eastAsia="en-US"/>
              </w:rPr>
            </w:pPr>
            <w:r w:rsidRPr="00843077">
              <w:rPr>
                <w:noProof/>
                <w:color w:val="000000"/>
                <w:szCs w:val="16"/>
                <w:u w:color="FF0000"/>
              </w:rPr>
              <w:t>24</w:t>
            </w:r>
          </w:p>
        </w:tc>
        <w:tc>
          <w:tcPr>
            <w:tcW w:w="2469" w:type="pct"/>
            <w:vMerge/>
            <w:tcBorders>
              <w:left w:val="single" w:sz="4" w:space="0" w:color="808080"/>
              <w:right w:val="nil"/>
            </w:tcBorders>
            <w:shd w:val="clear" w:color="auto" w:fill="auto"/>
          </w:tcPr>
          <w:p w:rsidR="001C4AD2" w:rsidRPr="00C36678" w:rsidRDefault="001C4AD2" w:rsidP="00D202D9">
            <w:pPr>
              <w:pStyle w:val="Body-Table-Text"/>
              <w:rPr>
                <w:rFonts w:eastAsia="Meiryo"/>
                <w:u w:color="FF0000"/>
              </w:rPr>
            </w:pPr>
          </w:p>
        </w:tc>
      </w:tr>
    </w:tbl>
    <w:p w:rsidR="001C4AD2" w:rsidRDefault="001C4AD2" w:rsidP="00AE6C76">
      <w:pPr>
        <w:pStyle w:val="Body-Text-Smallspace"/>
      </w:pPr>
    </w:p>
    <w:p w:rsidR="00122AD4" w:rsidRPr="00C36678" w:rsidRDefault="00122AD4" w:rsidP="00AE6C76">
      <w:pPr>
        <w:pStyle w:val="Body-Text-Smallspace"/>
      </w:pPr>
    </w:p>
    <w:p w:rsidR="001C4AD2" w:rsidRPr="00C36678" w:rsidRDefault="001C4AD2" w:rsidP="00C443F2">
      <w:pPr>
        <w:pStyle w:val="Heading2-AR"/>
        <w:rPr>
          <w:sz w:val="36"/>
          <w:szCs w:val="36"/>
        </w:rPr>
      </w:pPr>
      <w:r w:rsidRPr="00C36678">
        <w:t xml:space="preserve">Curriculum </w:t>
      </w:r>
      <w:r>
        <w:t>implementation</w:t>
      </w:r>
    </w:p>
    <w:p w:rsidR="001C4AD2" w:rsidRPr="00C36678" w:rsidRDefault="001C4AD2" w:rsidP="00AE6C76">
      <w:pPr>
        <w:pStyle w:val="Body-Text-Smallspace"/>
      </w:pPr>
    </w:p>
    <w:p w:rsidR="001C4AD2" w:rsidRDefault="001C4AD2"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21" w:history="1">
        <w:r>
          <w:rPr>
            <w:rStyle w:val="Hyperlink"/>
          </w:rPr>
          <w:t>https://education.qld.gov.au/curriculum/stages-of-schooling/p-12</w:t>
        </w:r>
      </w:hyperlink>
      <w:r>
        <w:rPr>
          <w:rStyle w:val="Hyperlink"/>
        </w:rPr>
        <w:t>.</w:t>
      </w:r>
    </w:p>
    <w:p w:rsidR="001C4AD2" w:rsidRPr="00C36678" w:rsidRDefault="001C4AD2" w:rsidP="00AE6C76">
      <w:pPr>
        <w:pStyle w:val="Body-Text-Smallspace"/>
      </w:pPr>
    </w:p>
    <w:p w:rsidR="001C4AD2" w:rsidRPr="00C36678" w:rsidRDefault="001C4AD2" w:rsidP="00523AE2">
      <w:pPr>
        <w:pStyle w:val="Heading3-AR"/>
      </w:pPr>
      <w:r>
        <w:t>Extra</w:t>
      </w:r>
      <w:r w:rsidRPr="00C36678">
        <w:t>-curricular activities</w:t>
      </w:r>
    </w:p>
    <w:p w:rsidR="001C4AD2" w:rsidRDefault="001C4AD2"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22" w:history="1">
        <w:r>
          <w:rPr>
            <w:rStyle w:val="Hyperlink"/>
          </w:rPr>
          <w:t>https://www.qld.gov.au/education/schools/information/programs</w:t>
        </w:r>
      </w:hyperlink>
      <w:r>
        <w:rPr>
          <w:rStyle w:val="Hyperlink"/>
        </w:rPr>
        <w:t>.</w:t>
      </w:r>
    </w:p>
    <w:p w:rsidR="001C4AD2" w:rsidRPr="00C36678" w:rsidRDefault="001C4AD2" w:rsidP="00AE6C76">
      <w:pPr>
        <w:pStyle w:val="Body-Text-Smallspace"/>
      </w:pPr>
    </w:p>
    <w:p w:rsidR="001C4AD2" w:rsidRPr="00C36678" w:rsidRDefault="001C4AD2" w:rsidP="00523AE2">
      <w:pPr>
        <w:pStyle w:val="Heading3-AR"/>
      </w:pPr>
      <w:r w:rsidRPr="00C36678">
        <w:t>How information and communication technologies are used to assist learning</w:t>
      </w:r>
    </w:p>
    <w:p w:rsidR="001C4AD2" w:rsidRPr="00983497" w:rsidRDefault="001C4AD2"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Technologies as a specific learning area. Further information on models used by schools to assist learning is available at </w:t>
      </w:r>
      <w:hyperlink r:id="rId23" w:history="1">
        <w:r>
          <w:rPr>
            <w:rStyle w:val="Hyperlink"/>
          </w:rPr>
          <w:t>https://education.qld.gov.au/parents-and-carers/school-information/student-ict-device-programs/one-to-one-models</w:t>
        </w:r>
      </w:hyperlink>
      <w:r w:rsidRPr="00983497">
        <w:rPr>
          <w:color w:val="auto"/>
          <w:lang w:eastAsia="en-US"/>
        </w:rPr>
        <w:t>.</w:t>
      </w:r>
    </w:p>
    <w:p w:rsidR="001C4AD2" w:rsidRPr="00C36678" w:rsidRDefault="001C4AD2" w:rsidP="00523AE2">
      <w:pPr>
        <w:pStyle w:val="Body-Text"/>
        <w:rPr>
          <w:lang w:eastAsia="en-US"/>
        </w:rPr>
      </w:pPr>
    </w:p>
    <w:p w:rsidR="001C4AD2" w:rsidRPr="00C36678" w:rsidRDefault="001C4AD2" w:rsidP="00AE6C76">
      <w:pPr>
        <w:pStyle w:val="Body-Text-Smallspace"/>
      </w:pPr>
    </w:p>
    <w:p w:rsidR="001C4AD2" w:rsidRPr="00C36678" w:rsidRDefault="001C4AD2" w:rsidP="00523AE2">
      <w:pPr>
        <w:pStyle w:val="Heading2-AR"/>
        <w:rPr>
          <w:color w:val="000000"/>
        </w:rPr>
      </w:pPr>
      <w:r w:rsidRPr="00C36678">
        <w:t>Social climate</w:t>
      </w:r>
    </w:p>
    <w:p w:rsidR="001C4AD2" w:rsidRPr="00C36678" w:rsidRDefault="001C4AD2" w:rsidP="00AE6C76">
      <w:pPr>
        <w:pStyle w:val="Body-Text-Smallspace"/>
      </w:pPr>
    </w:p>
    <w:p w:rsidR="001C4AD2" w:rsidRPr="00C36678" w:rsidRDefault="001C4AD2" w:rsidP="00523AE2">
      <w:pPr>
        <w:pStyle w:val="Heading3-AR"/>
      </w:pPr>
      <w:r w:rsidRPr="00C36678">
        <w:t>Overview</w:t>
      </w:r>
    </w:p>
    <w:p w:rsidR="001C4AD2" w:rsidRPr="006B3A97" w:rsidRDefault="001C4AD2"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1C4AD2" w:rsidRPr="006B3A97" w:rsidRDefault="001C4AD2"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1C4AD2" w:rsidRPr="00983497" w:rsidRDefault="001C4AD2" w:rsidP="00983497">
      <w:pPr>
        <w:pStyle w:val="Body-Instructions-Text"/>
        <w:rPr>
          <w:color w:val="auto"/>
          <w:lang w:eastAsia="en-US"/>
        </w:rPr>
      </w:pPr>
      <w:r w:rsidRPr="006B3A97">
        <w:rPr>
          <w:color w:val="auto"/>
        </w:rPr>
        <w:t xml:space="preserve">Further information is also available at </w:t>
      </w:r>
      <w:hyperlink r:id="rId24" w:history="1">
        <w:r>
          <w:rPr>
            <w:rStyle w:val="Hyperlink"/>
          </w:rPr>
          <w:t>https://www.qld.gov.au/education/schools/health</w:t>
        </w:r>
      </w:hyperlink>
      <w:r>
        <w:rPr>
          <w:color w:val="auto"/>
          <w:lang w:eastAsia="en-US"/>
        </w:rPr>
        <w:t>.</w:t>
      </w:r>
    </w:p>
    <w:p w:rsidR="001C4AD2" w:rsidRPr="00C36678" w:rsidRDefault="001C4AD2" w:rsidP="00AE6C76">
      <w:pPr>
        <w:pStyle w:val="Body-Text-Smallspace"/>
      </w:pPr>
    </w:p>
    <w:p w:rsidR="001C4AD2" w:rsidRPr="00C36678" w:rsidRDefault="001C4AD2" w:rsidP="00523AE2">
      <w:pPr>
        <w:pStyle w:val="Heading3-AR"/>
      </w:pPr>
      <w:r w:rsidRPr="00C36678">
        <w:t>Parent, student and staff satisfaction</w:t>
      </w:r>
    </w:p>
    <w:p w:rsidR="001C4AD2" w:rsidRPr="00C36678" w:rsidRDefault="001C4AD2"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1C4AD2" w:rsidRPr="00C36678" w:rsidRDefault="001C4AD2" w:rsidP="00456FE9">
      <w:pPr>
        <w:pStyle w:val="Body-Text-Smallspace"/>
      </w:pPr>
    </w:p>
    <w:p w:rsidR="001C4AD2" w:rsidRPr="00C36678" w:rsidRDefault="001C4AD2"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1C4AD2" w:rsidRPr="00C36678" w:rsidTr="00AD614C">
        <w:trPr>
          <w:trHeight w:val="340"/>
          <w:tblHeader/>
        </w:trPr>
        <w:tc>
          <w:tcPr>
            <w:tcW w:w="6572" w:type="dxa"/>
            <w:shd w:val="clear" w:color="auto" w:fill="C1ECFF"/>
            <w:vAlign w:val="center"/>
          </w:tcPr>
          <w:p w:rsidR="001C4AD2" w:rsidRPr="00C36678" w:rsidRDefault="001C4AD2"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1C4AD2" w:rsidRPr="00C36678" w:rsidRDefault="001C4AD2" w:rsidP="00503CB9">
            <w:pPr>
              <w:pStyle w:val="Body-Table-HeadingCentred"/>
              <w:keepNext/>
            </w:pPr>
            <w:r>
              <w:t>2017</w:t>
            </w:r>
          </w:p>
        </w:tc>
        <w:tc>
          <w:tcPr>
            <w:tcW w:w="1024" w:type="dxa"/>
            <w:shd w:val="clear" w:color="auto" w:fill="C1ECFF"/>
            <w:vAlign w:val="center"/>
          </w:tcPr>
          <w:p w:rsidR="001C4AD2" w:rsidRPr="00C36678" w:rsidRDefault="001C4AD2" w:rsidP="00503CB9">
            <w:pPr>
              <w:pStyle w:val="Body-Table-HeadingCentred"/>
              <w:keepNext/>
            </w:pPr>
            <w:r w:rsidRPr="00C36678">
              <w:t>201</w:t>
            </w:r>
            <w:r>
              <w:t>8</w:t>
            </w:r>
          </w:p>
        </w:tc>
        <w:tc>
          <w:tcPr>
            <w:tcW w:w="1025" w:type="dxa"/>
            <w:shd w:val="clear" w:color="auto" w:fill="C1ECFF"/>
            <w:vAlign w:val="center"/>
          </w:tcPr>
          <w:p w:rsidR="001C4AD2" w:rsidRPr="00C36678" w:rsidRDefault="001C4AD2" w:rsidP="00503CB9">
            <w:pPr>
              <w:pStyle w:val="Body-Table-HeadingCentred"/>
              <w:keepNext/>
            </w:pPr>
            <w:r w:rsidRPr="00C36678">
              <w:t>201</w:t>
            </w:r>
            <w:r>
              <w:t>9</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this is a good school (S2035)</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88%</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88%</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89%</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88%</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88%</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6572" w:type="dxa"/>
            <w:shd w:val="clear" w:color="auto" w:fill="auto"/>
            <w:vAlign w:val="center"/>
          </w:tcPr>
          <w:p w:rsidR="001C4AD2" w:rsidRPr="00C36678" w:rsidRDefault="001C4AD2" w:rsidP="005C58D0">
            <w:pPr>
              <w:pStyle w:val="Body-Table-Bullet"/>
              <w:rPr>
                <w:rFonts w:eastAsia="Meiryo"/>
                <w:szCs w:val="16"/>
              </w:rPr>
            </w:pPr>
            <w:r w:rsidRPr="00C36678">
              <w:t>this school is well maintained* (S2014)</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4"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c>
          <w:tcPr>
            <w:tcW w:w="1025" w:type="dxa"/>
            <w:shd w:val="clear" w:color="auto" w:fill="auto"/>
            <w:vAlign w:val="center"/>
          </w:tcPr>
          <w:p w:rsidR="001C4AD2" w:rsidRPr="00C36678" w:rsidRDefault="001C4AD2" w:rsidP="00EB09C7">
            <w:pPr>
              <w:pStyle w:val="Body-Table-TextCentred"/>
              <w:rPr>
                <w:szCs w:val="16"/>
              </w:rPr>
            </w:pPr>
            <w:r w:rsidRPr="00843077">
              <w:rPr>
                <w:noProof/>
                <w:szCs w:val="16"/>
              </w:rPr>
              <w:t>100%</w:t>
            </w:r>
          </w:p>
        </w:tc>
      </w:tr>
      <w:tr w:rsidR="001C4AD2" w:rsidRPr="00C36678" w:rsidTr="00AD614C">
        <w:trPr>
          <w:trHeight w:val="340"/>
        </w:trPr>
        <w:tc>
          <w:tcPr>
            <w:tcW w:w="9645" w:type="dxa"/>
            <w:gridSpan w:val="4"/>
            <w:tcBorders>
              <w:left w:val="nil"/>
              <w:bottom w:val="nil"/>
              <w:right w:val="nil"/>
            </w:tcBorders>
            <w:shd w:val="clear" w:color="auto" w:fill="auto"/>
            <w:vAlign w:val="center"/>
          </w:tcPr>
          <w:p w:rsidR="001C4AD2" w:rsidRPr="00C36678" w:rsidRDefault="001C4AD2" w:rsidP="00A954D3">
            <w:pPr>
              <w:pStyle w:val="Body-Text-Smallspace"/>
            </w:pPr>
          </w:p>
          <w:p w:rsidR="001C4AD2" w:rsidRPr="00C36678" w:rsidRDefault="001C4AD2" w:rsidP="008551AF">
            <w:pPr>
              <w:pStyle w:val="Body-Table-Note"/>
            </w:pPr>
            <w:r w:rsidRPr="00C36678">
              <w:t>* Nationally agreed student and parent/caregiver items.</w:t>
            </w:r>
          </w:p>
          <w:p w:rsidR="001C4AD2" w:rsidRPr="00C36678" w:rsidRDefault="001C4AD2" w:rsidP="008551AF">
            <w:pPr>
              <w:pStyle w:val="Body-Table-Note"/>
            </w:pPr>
            <w:r w:rsidRPr="00C36678">
              <w:t># ‘Agree’ represents the percentage of respondents who Somewhat Agree, Agree or Strongly Agree with the statement.</w:t>
            </w:r>
          </w:p>
          <w:p w:rsidR="001C4AD2" w:rsidRPr="00C36678" w:rsidRDefault="001C4AD2" w:rsidP="00BB159F">
            <w:pPr>
              <w:pStyle w:val="Body-Table-Note"/>
            </w:pPr>
            <w:r w:rsidRPr="00C36678">
              <w:t>DW = Data withheld to ensure confidentiality.</w:t>
            </w:r>
          </w:p>
        </w:tc>
      </w:tr>
    </w:tbl>
    <w:p w:rsidR="001C4AD2" w:rsidRPr="00C36678" w:rsidRDefault="001C4AD2" w:rsidP="00AE6C76">
      <w:pPr>
        <w:pStyle w:val="Body-Text"/>
      </w:pPr>
    </w:p>
    <w:p w:rsidR="001C4AD2" w:rsidRPr="00C36678" w:rsidRDefault="001C4AD2"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1C4AD2" w:rsidRPr="00C36678" w:rsidTr="00162A9B">
        <w:trPr>
          <w:trHeight w:val="340"/>
          <w:tblHeader/>
        </w:trPr>
        <w:tc>
          <w:tcPr>
            <w:tcW w:w="6574" w:type="dxa"/>
            <w:shd w:val="clear" w:color="auto" w:fill="C1ECFF"/>
            <w:vAlign w:val="center"/>
          </w:tcPr>
          <w:p w:rsidR="001C4AD2" w:rsidRPr="00C36678" w:rsidRDefault="001C4AD2"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1C4AD2" w:rsidRPr="00C36678" w:rsidRDefault="001C4AD2" w:rsidP="00503CB9">
            <w:pPr>
              <w:pStyle w:val="Body-Table-HeadingCentred"/>
              <w:keepNext/>
            </w:pPr>
            <w:r>
              <w:t>2017</w:t>
            </w:r>
          </w:p>
        </w:tc>
        <w:tc>
          <w:tcPr>
            <w:tcW w:w="1019" w:type="dxa"/>
            <w:shd w:val="clear" w:color="auto" w:fill="C1ECFF"/>
            <w:vAlign w:val="center"/>
          </w:tcPr>
          <w:p w:rsidR="001C4AD2" w:rsidRPr="00C36678" w:rsidRDefault="001C4AD2" w:rsidP="00503CB9">
            <w:pPr>
              <w:pStyle w:val="Body-Table-HeadingCentred"/>
              <w:keepNext/>
            </w:pPr>
            <w:r w:rsidRPr="00C36678">
              <w:t>201</w:t>
            </w:r>
            <w:r>
              <w:t>8</w:t>
            </w:r>
          </w:p>
        </w:tc>
        <w:tc>
          <w:tcPr>
            <w:tcW w:w="1019" w:type="dxa"/>
            <w:shd w:val="clear" w:color="auto" w:fill="C1ECFF"/>
            <w:vAlign w:val="center"/>
          </w:tcPr>
          <w:p w:rsidR="001C4AD2" w:rsidRPr="00C36678" w:rsidRDefault="001C4AD2" w:rsidP="00503CB9">
            <w:pPr>
              <w:pStyle w:val="Body-Table-HeadingCentred"/>
              <w:keepNext/>
            </w:pPr>
            <w:r w:rsidRPr="00C36678">
              <w:t>201</w:t>
            </w:r>
            <w:r>
              <w:t>9</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94%</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they like being at their school* (S2036)</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86%</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79%</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85%</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they feel safe at their school* (S2037)</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86%</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88%</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87%</w:t>
            </w:r>
          </w:p>
        </w:tc>
        <w:tc>
          <w:tcPr>
            <w:tcW w:w="1019" w:type="dxa"/>
            <w:shd w:val="clear" w:color="auto" w:fill="auto"/>
            <w:vAlign w:val="center"/>
          </w:tcPr>
          <w:p w:rsidR="001C4AD2" w:rsidRPr="00C36678" w:rsidRDefault="001C4AD2" w:rsidP="00AB14F9">
            <w:pPr>
              <w:pStyle w:val="Body-Table-TextCentred"/>
              <w:rPr>
                <w:noProof/>
                <w:szCs w:val="16"/>
              </w:rPr>
            </w:pPr>
            <w:r w:rsidRPr="00843077">
              <w:rPr>
                <w:noProof/>
                <w:szCs w:val="16"/>
              </w:rPr>
              <w:t>97%</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97%</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93%</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94%</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93%</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97%</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73%</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91%</w:t>
            </w:r>
          </w:p>
        </w:tc>
      </w:tr>
      <w:tr w:rsidR="001C4AD2" w:rsidRPr="00C36678" w:rsidTr="00162A9B">
        <w:trPr>
          <w:trHeight w:val="340"/>
        </w:trPr>
        <w:tc>
          <w:tcPr>
            <w:tcW w:w="6574" w:type="dxa"/>
            <w:shd w:val="clear" w:color="auto" w:fill="auto"/>
            <w:vAlign w:val="center"/>
          </w:tcPr>
          <w:p w:rsidR="001C4AD2" w:rsidRPr="00C36678" w:rsidRDefault="001C4AD2"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95%</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79%</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82%</w:t>
            </w:r>
          </w:p>
        </w:tc>
      </w:tr>
      <w:tr w:rsidR="001C4AD2" w:rsidRPr="00C36678" w:rsidTr="00162A9B">
        <w:trPr>
          <w:trHeight w:val="340"/>
        </w:trPr>
        <w:tc>
          <w:tcPr>
            <w:tcW w:w="6574" w:type="dxa"/>
            <w:shd w:val="clear" w:color="auto" w:fill="auto"/>
            <w:vAlign w:val="center"/>
          </w:tcPr>
          <w:p w:rsidR="001C4AD2" w:rsidRPr="00C36678" w:rsidRDefault="001C4AD2"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80%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76%</w:t>
            </w:r>
          </w:p>
        </w:tc>
      </w:tr>
      <w:tr w:rsidR="001C4AD2" w:rsidRPr="00C36678" w:rsidTr="00162A9B">
        <w:trPr>
          <w:trHeight w:val="340"/>
        </w:trPr>
        <w:tc>
          <w:tcPr>
            <w:tcW w:w="6574" w:type="dxa"/>
            <w:shd w:val="clear" w:color="auto" w:fill="auto"/>
            <w:vAlign w:val="center"/>
          </w:tcPr>
          <w:p w:rsidR="001C4AD2" w:rsidRPr="00C36678" w:rsidRDefault="001C4AD2"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97%</w:t>
            </w:r>
          </w:p>
        </w:tc>
      </w:tr>
      <w:tr w:rsidR="001C4AD2" w:rsidRPr="00C36678" w:rsidTr="00162A9B">
        <w:trPr>
          <w:trHeight w:val="340"/>
        </w:trPr>
        <w:tc>
          <w:tcPr>
            <w:tcW w:w="6574" w:type="dxa"/>
            <w:shd w:val="clear" w:color="auto" w:fill="auto"/>
            <w:vAlign w:val="center"/>
          </w:tcPr>
          <w:p w:rsidR="001C4AD2" w:rsidRPr="00C36678" w:rsidRDefault="001C4AD2" w:rsidP="00EC273D">
            <w:pPr>
              <w:pStyle w:val="Body-Table-Bullet"/>
              <w:rPr>
                <w:rFonts w:eastAsia="Meiryo"/>
                <w:szCs w:val="16"/>
              </w:rPr>
            </w:pPr>
            <w:r w:rsidRPr="00C36678">
              <w:t>their school is well maintained* (S2046)</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93%</w:t>
            </w:r>
          </w:p>
        </w:tc>
        <w:tc>
          <w:tcPr>
            <w:tcW w:w="1019" w:type="dxa"/>
            <w:shd w:val="clear" w:color="auto" w:fill="auto"/>
            <w:vAlign w:val="center"/>
          </w:tcPr>
          <w:p w:rsidR="001C4AD2" w:rsidRPr="00C36678" w:rsidRDefault="001C4AD2" w:rsidP="00EC273D">
            <w:pPr>
              <w:pStyle w:val="Body-Table-TextCentred"/>
              <w:rPr>
                <w:szCs w:val="16"/>
              </w:rPr>
            </w:pPr>
            <w:r w:rsidRPr="00843077">
              <w:rPr>
                <w:noProof/>
                <w:szCs w:val="16"/>
              </w:rPr>
              <w:t>88%</w:t>
            </w:r>
          </w:p>
        </w:tc>
      </w:tr>
      <w:tr w:rsidR="001C4AD2" w:rsidRPr="00C36678" w:rsidTr="00162A9B">
        <w:trPr>
          <w:trHeight w:val="340"/>
        </w:trPr>
        <w:tc>
          <w:tcPr>
            <w:tcW w:w="6574" w:type="dxa"/>
            <w:shd w:val="clear" w:color="auto" w:fill="auto"/>
            <w:vAlign w:val="center"/>
          </w:tcPr>
          <w:p w:rsidR="001C4AD2" w:rsidRPr="00C36678" w:rsidRDefault="001C4AD2"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100%</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93%</w:t>
            </w:r>
          </w:p>
        </w:tc>
        <w:tc>
          <w:tcPr>
            <w:tcW w:w="1019" w:type="dxa"/>
            <w:shd w:val="clear" w:color="auto" w:fill="auto"/>
            <w:vAlign w:val="center"/>
          </w:tcPr>
          <w:p w:rsidR="001C4AD2" w:rsidRPr="00C36678" w:rsidRDefault="001C4AD2" w:rsidP="00162A9B">
            <w:pPr>
              <w:pStyle w:val="Body-Table-TextCentred"/>
              <w:rPr>
                <w:szCs w:val="16"/>
              </w:rPr>
            </w:pPr>
            <w:r w:rsidRPr="00843077">
              <w:rPr>
                <w:noProof/>
                <w:szCs w:val="16"/>
              </w:rPr>
              <w:t>88%</w:t>
            </w:r>
          </w:p>
        </w:tc>
      </w:tr>
      <w:tr w:rsidR="001C4AD2" w:rsidRPr="00C36678" w:rsidTr="00162A9B">
        <w:trPr>
          <w:trHeight w:val="391"/>
        </w:trPr>
        <w:tc>
          <w:tcPr>
            <w:tcW w:w="9631" w:type="dxa"/>
            <w:gridSpan w:val="4"/>
            <w:tcBorders>
              <w:left w:val="nil"/>
              <w:bottom w:val="nil"/>
              <w:right w:val="nil"/>
            </w:tcBorders>
            <w:shd w:val="clear" w:color="auto" w:fill="auto"/>
            <w:vAlign w:val="center"/>
          </w:tcPr>
          <w:p w:rsidR="001C4AD2" w:rsidRPr="00C36678" w:rsidRDefault="001C4AD2" w:rsidP="00162A9B">
            <w:pPr>
              <w:pStyle w:val="Body-Text-Smallspace"/>
            </w:pPr>
          </w:p>
          <w:p w:rsidR="001C4AD2" w:rsidRPr="00C36678" w:rsidRDefault="001C4AD2" w:rsidP="00162A9B">
            <w:pPr>
              <w:pStyle w:val="Body-Table-Note"/>
            </w:pPr>
            <w:r w:rsidRPr="00C36678">
              <w:t>* Nationally agreed student and parent/caregiver items.</w:t>
            </w:r>
          </w:p>
          <w:p w:rsidR="001C4AD2" w:rsidRPr="00C36678" w:rsidRDefault="001C4AD2" w:rsidP="00162A9B">
            <w:pPr>
              <w:pStyle w:val="Body-Table-Note"/>
            </w:pPr>
            <w:r w:rsidRPr="00C36678">
              <w:t># ‘Agree’ represents the percentage of respondents who Somewhat Agree, Agree or Strongly Agree with the statement.</w:t>
            </w:r>
          </w:p>
          <w:p w:rsidR="001C4AD2" w:rsidRPr="00C36678" w:rsidRDefault="001C4AD2" w:rsidP="00162A9B">
            <w:pPr>
              <w:pStyle w:val="Body-Table-Note"/>
            </w:pPr>
            <w:r w:rsidRPr="00C36678">
              <w:t>DW = Data withheld to ensure confidentiality.</w:t>
            </w:r>
          </w:p>
        </w:tc>
      </w:tr>
    </w:tbl>
    <w:p w:rsidR="001C4AD2" w:rsidRPr="00C36678" w:rsidRDefault="001C4AD2" w:rsidP="00907B51">
      <w:pPr>
        <w:pStyle w:val="Body-Text"/>
      </w:pPr>
    </w:p>
    <w:p w:rsidR="001C4AD2" w:rsidRPr="00C36678" w:rsidRDefault="001C4AD2"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1C4AD2" w:rsidRPr="00C36678" w:rsidTr="00AD614C">
        <w:trPr>
          <w:trHeight w:val="340"/>
          <w:tblHeader/>
        </w:trPr>
        <w:tc>
          <w:tcPr>
            <w:tcW w:w="6574" w:type="dxa"/>
            <w:shd w:val="clear" w:color="auto" w:fill="C1ECFF"/>
            <w:vAlign w:val="center"/>
          </w:tcPr>
          <w:p w:rsidR="001C4AD2" w:rsidRPr="00C36678" w:rsidRDefault="001C4AD2"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1C4AD2" w:rsidRPr="00C36678" w:rsidRDefault="001C4AD2" w:rsidP="00503CB9">
            <w:pPr>
              <w:pStyle w:val="Body-Table-HeadingCentred"/>
              <w:keepNext/>
            </w:pPr>
            <w:r>
              <w:t>2017</w:t>
            </w:r>
          </w:p>
        </w:tc>
        <w:tc>
          <w:tcPr>
            <w:tcW w:w="1024" w:type="dxa"/>
            <w:shd w:val="clear" w:color="auto" w:fill="C1ECFF"/>
            <w:vAlign w:val="center"/>
          </w:tcPr>
          <w:p w:rsidR="001C4AD2" w:rsidRPr="00C36678" w:rsidRDefault="001C4AD2" w:rsidP="00503CB9">
            <w:pPr>
              <w:pStyle w:val="Body-Table-HeadingCentred"/>
              <w:keepNext/>
            </w:pPr>
            <w:r w:rsidRPr="00C36678">
              <w:t>201</w:t>
            </w:r>
            <w:r>
              <w:t>8</w:t>
            </w:r>
          </w:p>
        </w:tc>
        <w:tc>
          <w:tcPr>
            <w:tcW w:w="1024" w:type="dxa"/>
            <w:shd w:val="clear" w:color="auto" w:fill="C1ECFF"/>
            <w:vAlign w:val="center"/>
          </w:tcPr>
          <w:p w:rsidR="001C4AD2" w:rsidRPr="00C36678" w:rsidRDefault="001C4AD2" w:rsidP="00503CB9">
            <w:pPr>
              <w:pStyle w:val="Body-Table-HeadingCentred"/>
              <w:keepNext/>
            </w:pPr>
            <w:r w:rsidRPr="00C36678">
              <w:t>201</w:t>
            </w:r>
            <w:r>
              <w:t>9</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1C4AD2" w:rsidRPr="00C36678" w:rsidRDefault="001C4AD2" w:rsidP="00016FE6">
            <w:pPr>
              <w:pStyle w:val="Body-Table-TextCentred"/>
            </w:pPr>
            <w:r w:rsidRPr="00843077">
              <w:rPr>
                <w:noProof/>
              </w:rPr>
              <w:t>92%</w:t>
            </w:r>
          </w:p>
        </w:tc>
        <w:tc>
          <w:tcPr>
            <w:tcW w:w="1024"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1C4AD2" w:rsidRPr="00C36678" w:rsidRDefault="001C4AD2" w:rsidP="00016FE6">
            <w:pPr>
              <w:pStyle w:val="Body-Table-TextCentred"/>
            </w:pPr>
            <w:r w:rsidRPr="00843077">
              <w:rPr>
                <w:noProof/>
              </w:rPr>
              <w:t>62%</w:t>
            </w:r>
          </w:p>
        </w:tc>
        <w:tc>
          <w:tcPr>
            <w:tcW w:w="1024"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1C4AD2" w:rsidRPr="00C36678" w:rsidRDefault="001C4AD2" w:rsidP="00016FE6">
            <w:pPr>
              <w:pStyle w:val="Body-Table-TextCentred"/>
            </w:pPr>
            <w:r w:rsidRPr="00843077">
              <w:rPr>
                <w:noProof/>
              </w:rPr>
              <w:t>62%</w:t>
            </w:r>
          </w:p>
        </w:tc>
        <w:tc>
          <w:tcPr>
            <w:tcW w:w="1024" w:type="dxa"/>
            <w:shd w:val="clear" w:color="auto" w:fill="auto"/>
            <w:vAlign w:val="center"/>
          </w:tcPr>
          <w:p w:rsidR="001C4AD2" w:rsidRPr="00C36678" w:rsidRDefault="001C4AD2" w:rsidP="00016FE6">
            <w:pPr>
              <w:pStyle w:val="Body-Table-TextCentred"/>
            </w:pPr>
            <w:r w:rsidRPr="00843077">
              <w:rPr>
                <w:noProof/>
              </w:rPr>
              <w:t>87%</w:t>
            </w:r>
          </w:p>
        </w:tc>
        <w:tc>
          <w:tcPr>
            <w:tcW w:w="1024" w:type="dxa"/>
            <w:shd w:val="clear" w:color="auto" w:fill="auto"/>
            <w:vAlign w:val="center"/>
          </w:tcPr>
          <w:p w:rsidR="001C4AD2" w:rsidRPr="00C36678" w:rsidRDefault="001C4AD2" w:rsidP="00897392">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83%</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1C4AD2" w:rsidRPr="00C36678" w:rsidRDefault="001C4AD2" w:rsidP="00016FE6">
            <w:pPr>
              <w:pStyle w:val="Body-Table-TextCentred"/>
            </w:pPr>
            <w:r w:rsidRPr="00843077">
              <w:rPr>
                <w:noProof/>
              </w:rPr>
              <w:t>77%</w:t>
            </w:r>
          </w:p>
        </w:tc>
        <w:tc>
          <w:tcPr>
            <w:tcW w:w="1024" w:type="dxa"/>
            <w:shd w:val="clear" w:color="auto" w:fill="auto"/>
            <w:vAlign w:val="center"/>
          </w:tcPr>
          <w:p w:rsidR="001C4AD2" w:rsidRPr="00C36678" w:rsidRDefault="001C4AD2" w:rsidP="00016FE6">
            <w:pPr>
              <w:pStyle w:val="Body-Table-TextCentred"/>
            </w:pPr>
            <w:r w:rsidRPr="00843077">
              <w:rPr>
                <w:noProof/>
              </w:rPr>
              <w:t>87%</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1C4AD2" w:rsidRPr="00C36678" w:rsidRDefault="001C4AD2" w:rsidP="00016FE6">
            <w:pPr>
              <w:pStyle w:val="Body-Table-TextCentred"/>
            </w:pPr>
            <w:r w:rsidRPr="00843077">
              <w:rPr>
                <w:noProof/>
              </w:rPr>
              <w:t>92%</w:t>
            </w:r>
          </w:p>
        </w:tc>
        <w:tc>
          <w:tcPr>
            <w:tcW w:w="1024" w:type="dxa"/>
            <w:shd w:val="clear" w:color="auto" w:fill="auto"/>
            <w:vAlign w:val="center"/>
          </w:tcPr>
          <w:p w:rsidR="001C4AD2" w:rsidRPr="00C36678" w:rsidRDefault="001C4AD2" w:rsidP="00016FE6">
            <w:pPr>
              <w:pStyle w:val="Body-Table-TextCentred"/>
            </w:pPr>
            <w:r w:rsidRPr="00843077">
              <w:rPr>
                <w:noProof/>
              </w:rPr>
              <w:t>87%</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1C4AD2" w:rsidRPr="00C36678" w:rsidRDefault="001C4AD2" w:rsidP="00016FE6">
            <w:pPr>
              <w:pStyle w:val="Body-Table-TextCentred"/>
            </w:pPr>
            <w:r w:rsidRPr="00843077">
              <w:rPr>
                <w:noProof/>
              </w:rPr>
              <w:t>38%</w:t>
            </w:r>
          </w:p>
        </w:tc>
        <w:tc>
          <w:tcPr>
            <w:tcW w:w="1024" w:type="dxa"/>
            <w:shd w:val="clear" w:color="auto" w:fill="auto"/>
            <w:vAlign w:val="center"/>
          </w:tcPr>
          <w:p w:rsidR="001C4AD2" w:rsidRPr="00C36678" w:rsidRDefault="001C4AD2" w:rsidP="00016FE6">
            <w:pPr>
              <w:pStyle w:val="Body-Table-TextCentred"/>
            </w:pPr>
            <w:r w:rsidRPr="00843077">
              <w:rPr>
                <w:noProof/>
              </w:rPr>
              <w:t>93%</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1C4AD2" w:rsidRPr="00C36678" w:rsidRDefault="001C4AD2" w:rsidP="00016FE6">
            <w:pPr>
              <w:pStyle w:val="Body-Table-TextCentred"/>
            </w:pPr>
            <w:r w:rsidRPr="00843077">
              <w:rPr>
                <w:noProof/>
              </w:rPr>
              <w:t>46%</w:t>
            </w:r>
          </w:p>
        </w:tc>
        <w:tc>
          <w:tcPr>
            <w:tcW w:w="1024" w:type="dxa"/>
            <w:shd w:val="clear" w:color="auto" w:fill="auto"/>
            <w:vAlign w:val="center"/>
          </w:tcPr>
          <w:p w:rsidR="001C4AD2" w:rsidRPr="00C36678" w:rsidRDefault="001C4AD2" w:rsidP="00016FE6">
            <w:pPr>
              <w:pStyle w:val="Body-Table-TextCentred"/>
            </w:pPr>
            <w:r w:rsidRPr="00843077">
              <w:rPr>
                <w:noProof/>
              </w:rPr>
              <w:t>92%</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1C4AD2" w:rsidRPr="00C36678" w:rsidRDefault="001C4AD2" w:rsidP="00016FE6">
            <w:pPr>
              <w:pStyle w:val="Body-Table-TextCentred"/>
            </w:pPr>
            <w:r w:rsidRPr="00843077">
              <w:rPr>
                <w:noProof/>
              </w:rPr>
              <w:t>77%</w:t>
            </w:r>
          </w:p>
        </w:tc>
        <w:tc>
          <w:tcPr>
            <w:tcW w:w="1024" w:type="dxa"/>
            <w:shd w:val="clear" w:color="auto" w:fill="auto"/>
            <w:vAlign w:val="center"/>
          </w:tcPr>
          <w:p w:rsidR="001C4AD2" w:rsidRPr="00C36678" w:rsidRDefault="001C4AD2" w:rsidP="00016FE6">
            <w:pPr>
              <w:pStyle w:val="Body-Table-TextCentred"/>
            </w:pPr>
            <w:r w:rsidRPr="00843077">
              <w:rPr>
                <w:noProof/>
              </w:rPr>
              <w:t>93%</w:t>
            </w:r>
          </w:p>
        </w:tc>
        <w:tc>
          <w:tcPr>
            <w:tcW w:w="1024" w:type="dxa"/>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6574" w:type="dxa"/>
            <w:shd w:val="clear" w:color="auto" w:fill="auto"/>
            <w:vAlign w:val="center"/>
          </w:tcPr>
          <w:p w:rsidR="001C4AD2" w:rsidRPr="00C36678" w:rsidRDefault="001C4AD2"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1C4AD2" w:rsidRPr="00C36678" w:rsidRDefault="001C4AD2" w:rsidP="00016FE6">
            <w:pPr>
              <w:pStyle w:val="Body-Table-TextCentred"/>
            </w:pPr>
            <w:r w:rsidRPr="00843077">
              <w:rPr>
                <w:noProof/>
              </w:rPr>
              <w:t>92%</w:t>
            </w:r>
          </w:p>
        </w:tc>
        <w:tc>
          <w:tcPr>
            <w:tcW w:w="1024" w:type="dxa"/>
            <w:shd w:val="clear" w:color="auto" w:fill="auto"/>
            <w:vAlign w:val="center"/>
          </w:tcPr>
          <w:p w:rsidR="001C4AD2" w:rsidRPr="00C36678" w:rsidRDefault="001C4AD2" w:rsidP="00016FE6">
            <w:pPr>
              <w:pStyle w:val="Body-Table-TextCentred"/>
            </w:pPr>
            <w:r w:rsidRPr="00843077">
              <w:rPr>
                <w:noProof/>
              </w:rPr>
              <w:t>100%</w:t>
            </w:r>
          </w:p>
        </w:tc>
        <w:tc>
          <w:tcPr>
            <w:tcW w:w="1024" w:type="dxa"/>
            <w:shd w:val="clear" w:color="auto" w:fill="auto"/>
            <w:vAlign w:val="center"/>
          </w:tcPr>
          <w:p w:rsidR="001C4AD2" w:rsidRPr="00C36678" w:rsidRDefault="001C4AD2" w:rsidP="00016FE6">
            <w:pPr>
              <w:pStyle w:val="Body-Table-TextCentred"/>
            </w:pPr>
            <w:r w:rsidRPr="00843077">
              <w:rPr>
                <w:noProof/>
              </w:rPr>
              <w:t>90%</w:t>
            </w:r>
          </w:p>
        </w:tc>
      </w:tr>
      <w:tr w:rsidR="001C4AD2" w:rsidRPr="00C36678" w:rsidTr="00AD614C">
        <w:trPr>
          <w:trHeight w:val="340"/>
        </w:trPr>
        <w:tc>
          <w:tcPr>
            <w:tcW w:w="6574" w:type="dxa"/>
            <w:tcBorders>
              <w:bottom w:val="single" w:sz="4" w:space="0" w:color="808080"/>
            </w:tcBorders>
            <w:shd w:val="clear" w:color="auto" w:fill="auto"/>
            <w:vAlign w:val="center"/>
          </w:tcPr>
          <w:p w:rsidR="001C4AD2" w:rsidRPr="00C36678" w:rsidRDefault="001C4AD2"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1C4AD2" w:rsidRPr="00C36678" w:rsidRDefault="001C4AD2" w:rsidP="00016FE6">
            <w:pPr>
              <w:pStyle w:val="Body-Table-TextCentred"/>
            </w:pPr>
            <w:r w:rsidRPr="00843077">
              <w:rPr>
                <w:noProof/>
              </w:rPr>
              <w:t>92%</w:t>
            </w:r>
          </w:p>
        </w:tc>
        <w:tc>
          <w:tcPr>
            <w:tcW w:w="1024" w:type="dxa"/>
            <w:tcBorders>
              <w:bottom w:val="single" w:sz="4" w:space="0" w:color="808080"/>
            </w:tcBorders>
            <w:shd w:val="clear" w:color="auto" w:fill="auto"/>
            <w:vAlign w:val="center"/>
          </w:tcPr>
          <w:p w:rsidR="001C4AD2" w:rsidRPr="00C36678" w:rsidRDefault="001C4AD2" w:rsidP="00016FE6">
            <w:pPr>
              <w:pStyle w:val="Body-Table-TextCentred"/>
            </w:pPr>
            <w:r w:rsidRPr="00843077">
              <w:rPr>
                <w:noProof/>
              </w:rPr>
              <w:t>87%</w:t>
            </w:r>
          </w:p>
        </w:tc>
        <w:tc>
          <w:tcPr>
            <w:tcW w:w="1024" w:type="dxa"/>
            <w:tcBorders>
              <w:bottom w:val="single" w:sz="4" w:space="0" w:color="808080"/>
            </w:tcBorders>
            <w:shd w:val="clear" w:color="auto" w:fill="auto"/>
            <w:vAlign w:val="center"/>
          </w:tcPr>
          <w:p w:rsidR="001C4AD2" w:rsidRPr="00C36678" w:rsidRDefault="001C4AD2" w:rsidP="00016FE6">
            <w:pPr>
              <w:pStyle w:val="Body-Table-TextCentred"/>
            </w:pPr>
            <w:r w:rsidRPr="00843077">
              <w:rPr>
                <w:noProof/>
              </w:rPr>
              <w:t>100%</w:t>
            </w:r>
          </w:p>
        </w:tc>
      </w:tr>
      <w:tr w:rsidR="001C4AD2" w:rsidRPr="00C36678" w:rsidTr="00AD614C">
        <w:trPr>
          <w:trHeight w:val="340"/>
        </w:trPr>
        <w:tc>
          <w:tcPr>
            <w:tcW w:w="9645" w:type="dxa"/>
            <w:gridSpan w:val="4"/>
            <w:tcBorders>
              <w:left w:val="nil"/>
              <w:bottom w:val="nil"/>
              <w:right w:val="nil"/>
            </w:tcBorders>
            <w:shd w:val="clear" w:color="auto" w:fill="auto"/>
            <w:vAlign w:val="center"/>
          </w:tcPr>
          <w:p w:rsidR="001C4AD2" w:rsidRPr="00C36678" w:rsidRDefault="001C4AD2" w:rsidP="00A954D3">
            <w:pPr>
              <w:pStyle w:val="Body-Text-Smallspace"/>
            </w:pPr>
          </w:p>
          <w:p w:rsidR="001C4AD2" w:rsidRPr="00C36678" w:rsidRDefault="001C4AD2" w:rsidP="00C211B7">
            <w:pPr>
              <w:pStyle w:val="Body-Table-Note"/>
            </w:pPr>
            <w:r w:rsidRPr="00C36678">
              <w:t>* Nationally agreed student and parent/caregiver items.</w:t>
            </w:r>
          </w:p>
          <w:p w:rsidR="001C4AD2" w:rsidRPr="00C36678" w:rsidRDefault="001C4AD2" w:rsidP="00C211B7">
            <w:pPr>
              <w:pStyle w:val="Body-Table-Note"/>
            </w:pPr>
            <w:r w:rsidRPr="00C36678">
              <w:t># ‘Agree’ represents the percentage of respondents who Somewhat Agree, Agree or Strongly Agree with the statement.</w:t>
            </w:r>
          </w:p>
          <w:p w:rsidR="001C4AD2" w:rsidRPr="00C36678" w:rsidRDefault="001C4AD2" w:rsidP="00BB159F">
            <w:pPr>
              <w:pStyle w:val="Body-Table-Note"/>
            </w:pPr>
            <w:r w:rsidRPr="00C36678">
              <w:t>DW = Data withheld to ensure confidentiality.</w:t>
            </w:r>
          </w:p>
        </w:tc>
      </w:tr>
    </w:tbl>
    <w:p w:rsidR="001C4AD2" w:rsidRPr="00C36678" w:rsidRDefault="001C4AD2" w:rsidP="00D202D9">
      <w:pPr>
        <w:pStyle w:val="Body-Text"/>
      </w:pPr>
    </w:p>
    <w:p w:rsidR="001C4AD2" w:rsidRPr="00C36678" w:rsidRDefault="001C4AD2" w:rsidP="00A954D3">
      <w:pPr>
        <w:pStyle w:val="Body-Text-Smallspace"/>
      </w:pPr>
    </w:p>
    <w:p w:rsidR="001C4AD2" w:rsidRPr="00C36678" w:rsidRDefault="001C4AD2" w:rsidP="00FF0E8B">
      <w:pPr>
        <w:pStyle w:val="Heading3-AR"/>
      </w:pPr>
      <w:r w:rsidRPr="00C36678">
        <w:t>Parent and community engagement</w:t>
      </w:r>
    </w:p>
    <w:p w:rsidR="001C4AD2" w:rsidRPr="00FB5027" w:rsidRDefault="001C4AD2" w:rsidP="00983497">
      <w:pPr>
        <w:pStyle w:val="Body-Text"/>
        <w:rPr>
          <w:rStyle w:val="Hyperlink"/>
          <w:color w:val="auto"/>
        </w:rPr>
      </w:pPr>
      <w:r w:rsidRPr="006B3A97">
        <w:rPr>
          <w:rFonts w:eastAsia="SimSun"/>
          <w:bCs w:val="0"/>
          <w:szCs w:val="16"/>
          <w:lang w:eastAsia="en-US"/>
        </w:rPr>
        <w:t>Our approach to engaging with parents and the community is aligned</w:t>
      </w:r>
      <w:r w:rsidR="00122AD4">
        <w:rPr>
          <w:rFonts w:eastAsia="SimSun"/>
          <w:bCs w:val="0"/>
          <w:szCs w:val="16"/>
          <w:lang w:eastAsia="en-US"/>
        </w:rPr>
        <w:t xml:space="preserve"> to the departments Parent and Community Engagement F</w:t>
      </w:r>
      <w:r w:rsidRPr="006B3A97">
        <w:rPr>
          <w:rFonts w:eastAsia="SimSun"/>
          <w:bCs w:val="0"/>
          <w:szCs w:val="16"/>
          <w:lang w:eastAsia="en-US"/>
        </w:rPr>
        <w:t>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5" w:history="1">
        <w:r>
          <w:rPr>
            <w:rStyle w:val="Hyperlink"/>
          </w:rPr>
          <w:t>https://education.qld.gov.au/parents-and-carers/community-engagement</w:t>
        </w:r>
      </w:hyperlink>
    </w:p>
    <w:p w:rsidR="001C4AD2" w:rsidRPr="00983497" w:rsidRDefault="001C4AD2" w:rsidP="00FF0E8B">
      <w:pPr>
        <w:pStyle w:val="Body-Text"/>
        <w:rPr>
          <w:lang w:eastAsia="en-US"/>
        </w:rPr>
      </w:pPr>
    </w:p>
    <w:p w:rsidR="001C4AD2" w:rsidRPr="00C36678" w:rsidRDefault="001C4AD2" w:rsidP="00A954D3">
      <w:pPr>
        <w:pStyle w:val="Body-Text-Smallspace"/>
      </w:pPr>
    </w:p>
    <w:p w:rsidR="001C4AD2" w:rsidRPr="00C36678" w:rsidRDefault="001C4AD2" w:rsidP="00FF0E8B">
      <w:pPr>
        <w:pStyle w:val="Heading3-AR"/>
        <w:rPr>
          <w:lang w:eastAsia="en-US"/>
        </w:rPr>
      </w:pPr>
      <w:r w:rsidRPr="00C36678">
        <w:rPr>
          <w:lang w:eastAsia="en-US"/>
        </w:rPr>
        <w:t>Respectful relationships education programs</w:t>
      </w:r>
    </w:p>
    <w:p w:rsidR="001C4AD2" w:rsidRPr="006B3A97" w:rsidRDefault="001C4AD2" w:rsidP="00983497">
      <w:pPr>
        <w:pStyle w:val="Body-Text"/>
        <w:rPr>
          <w:rFonts w:eastAsia="SimSun"/>
          <w:bCs w:val="0"/>
          <w:szCs w:val="16"/>
          <w:lang w:eastAsia="en-US"/>
        </w:rPr>
      </w:pPr>
      <w:r w:rsidRPr="006B3A97">
        <w:rPr>
          <w:rFonts w:eastAsia="SimSun"/>
          <w:bCs w:val="0"/>
          <w:szCs w:val="16"/>
          <w:lang w:eastAsia="en-US"/>
        </w:rPr>
        <w:t xml:space="preserve">Our school has implemented the Respectful relationships education program (RREP) as part of the broad multi-departmental Queensland Government approach to ending domestic and family violence. </w:t>
      </w:r>
    </w:p>
    <w:p w:rsidR="001C4AD2" w:rsidRPr="006B3A97" w:rsidRDefault="001C4AD2"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1C4AD2" w:rsidRPr="006B3A97" w:rsidRDefault="001C4AD2"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1C4AD2" w:rsidRPr="006B3A97" w:rsidRDefault="001C4AD2"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1C4AD2" w:rsidRPr="006B3A97" w:rsidRDefault="001C4AD2"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1C4AD2" w:rsidRDefault="001C4AD2" w:rsidP="00983497">
      <w:pPr>
        <w:pStyle w:val="Body-Text"/>
      </w:pPr>
      <w:r w:rsidRPr="006B3A97">
        <w:rPr>
          <w:rFonts w:eastAsia="SimSun"/>
          <w:bCs w:val="0"/>
          <w:szCs w:val="16"/>
          <w:lang w:eastAsia="en-US"/>
        </w:rPr>
        <w:t xml:space="preserve">Further information is available at </w:t>
      </w:r>
      <w:hyperlink r:id="rId26" w:history="1">
        <w:r>
          <w:rPr>
            <w:rStyle w:val="Hyperlink"/>
          </w:rPr>
          <w:t>https://education.qld.gov.au/curriculum/stages-of-schooling/respectful-relationships</w:t>
        </w:r>
      </w:hyperlink>
    </w:p>
    <w:p w:rsidR="001C4AD2" w:rsidRPr="00983497" w:rsidRDefault="001C4AD2" w:rsidP="00BC260C">
      <w:pPr>
        <w:pStyle w:val="Body-Text"/>
        <w:rPr>
          <w:rFonts w:eastAsia="SimSun"/>
          <w:bCs w:val="0"/>
          <w:szCs w:val="16"/>
          <w:lang w:eastAsia="en-US"/>
        </w:rPr>
      </w:pPr>
    </w:p>
    <w:p w:rsidR="001C4AD2" w:rsidRPr="00C36678" w:rsidRDefault="001C4AD2" w:rsidP="00A954D3">
      <w:pPr>
        <w:pStyle w:val="Body-Text-Smallspace"/>
      </w:pPr>
    </w:p>
    <w:p w:rsidR="001C4AD2" w:rsidRPr="00C36678" w:rsidRDefault="001C4AD2" w:rsidP="006D0DA4">
      <w:pPr>
        <w:pStyle w:val="Heading3-AR"/>
      </w:pPr>
      <w:r w:rsidRPr="00C36678">
        <w:t>School disciplinary absences</w:t>
      </w:r>
    </w:p>
    <w:p w:rsidR="001C4AD2" w:rsidRPr="00C36678" w:rsidRDefault="001C4AD2" w:rsidP="00456FE9">
      <w:pPr>
        <w:pStyle w:val="Body-Text-Smallspace"/>
      </w:pPr>
    </w:p>
    <w:p w:rsidR="001C4AD2" w:rsidRPr="00C36678" w:rsidRDefault="001C4AD2"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1C4AD2" w:rsidRPr="00C36678" w:rsidTr="00794C20">
        <w:trPr>
          <w:trHeight w:val="367"/>
        </w:trPr>
        <w:tc>
          <w:tcPr>
            <w:tcW w:w="1563" w:type="pct"/>
            <w:shd w:val="clear" w:color="auto" w:fill="C1ECFF"/>
            <w:vAlign w:val="center"/>
          </w:tcPr>
          <w:p w:rsidR="001C4AD2" w:rsidRPr="00C36678" w:rsidRDefault="001C4AD2" w:rsidP="00503CB9">
            <w:pPr>
              <w:pStyle w:val="Body-Table-Heading"/>
              <w:keepNext/>
            </w:pPr>
            <w:r w:rsidRPr="00C36678">
              <w:t>Type of school disciplinary absence</w:t>
            </w:r>
          </w:p>
        </w:tc>
        <w:tc>
          <w:tcPr>
            <w:tcW w:w="405" w:type="pct"/>
            <w:shd w:val="clear" w:color="auto" w:fill="C1ECFF"/>
            <w:vAlign w:val="center"/>
          </w:tcPr>
          <w:p w:rsidR="001C4AD2" w:rsidRPr="00C36678" w:rsidRDefault="001C4AD2" w:rsidP="00503CB9">
            <w:pPr>
              <w:pStyle w:val="Body-Table-HeadingCentred"/>
              <w:keepNext/>
            </w:pPr>
            <w:r>
              <w:t>2017</w:t>
            </w:r>
          </w:p>
        </w:tc>
        <w:tc>
          <w:tcPr>
            <w:tcW w:w="403" w:type="pct"/>
            <w:shd w:val="clear" w:color="auto" w:fill="C1ECFF"/>
            <w:vAlign w:val="center"/>
          </w:tcPr>
          <w:p w:rsidR="001C4AD2" w:rsidRPr="00C36678" w:rsidRDefault="001C4AD2" w:rsidP="00503CB9">
            <w:pPr>
              <w:pStyle w:val="Body-Table-HeadingCentred"/>
              <w:keepNext/>
            </w:pPr>
            <w:r w:rsidRPr="00C36678">
              <w:t>201</w:t>
            </w:r>
            <w:r>
              <w:t>8</w:t>
            </w:r>
          </w:p>
        </w:tc>
        <w:tc>
          <w:tcPr>
            <w:tcW w:w="406" w:type="pct"/>
            <w:shd w:val="clear" w:color="auto" w:fill="C1ECFF"/>
            <w:vAlign w:val="center"/>
          </w:tcPr>
          <w:p w:rsidR="001C4AD2" w:rsidRPr="00C36678" w:rsidRDefault="001C4AD2"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1C4AD2" w:rsidRPr="00C36678" w:rsidRDefault="001C4AD2" w:rsidP="00503CB9">
            <w:pPr>
              <w:pStyle w:val="Body-Text-Smallspace"/>
            </w:pPr>
          </w:p>
          <w:p w:rsidR="001C4AD2" w:rsidRPr="00C36678" w:rsidRDefault="001C4AD2" w:rsidP="00503CB9">
            <w:pPr>
              <w:pStyle w:val="Body-Table-Note"/>
            </w:pPr>
            <w:r w:rsidRPr="00C36678">
              <w:t>Note:</w:t>
            </w:r>
          </w:p>
          <w:p w:rsidR="001C4AD2" w:rsidRPr="00C36678" w:rsidRDefault="001C4AD2" w:rsidP="00503CB9">
            <w:pPr>
              <w:pStyle w:val="Body-Table-Note"/>
            </w:pPr>
            <w:r w:rsidRPr="00C36678">
              <w:t>School disciplinary absences (SDAs) are absences enforced by a school for student conduct that is prejudicial to the good order and management of the school.</w:t>
            </w:r>
          </w:p>
        </w:tc>
      </w:tr>
      <w:tr w:rsidR="001C4AD2" w:rsidRPr="00C36678" w:rsidTr="00794C20">
        <w:trPr>
          <w:trHeight w:val="367"/>
        </w:trPr>
        <w:tc>
          <w:tcPr>
            <w:tcW w:w="1563" w:type="pct"/>
            <w:shd w:val="clear" w:color="auto" w:fill="auto"/>
            <w:vAlign w:val="center"/>
          </w:tcPr>
          <w:p w:rsidR="001C4AD2" w:rsidRPr="00C36678" w:rsidRDefault="001C4AD2" w:rsidP="00162A9B">
            <w:pPr>
              <w:pStyle w:val="Body-Table-Text"/>
              <w:keepNext/>
              <w:rPr>
                <w:rFonts w:eastAsia="Meiryo"/>
              </w:rPr>
            </w:pPr>
            <w:r w:rsidRPr="00C36678">
              <w:rPr>
                <w:rFonts w:eastAsia="Meiryo"/>
              </w:rPr>
              <w:t>Short suspensions – 1 to 10 days</w:t>
            </w:r>
          </w:p>
        </w:tc>
        <w:tc>
          <w:tcPr>
            <w:tcW w:w="405" w:type="pct"/>
            <w:vAlign w:val="center"/>
          </w:tcPr>
          <w:p w:rsidR="001C4AD2" w:rsidRPr="00C36678" w:rsidRDefault="001C4AD2" w:rsidP="00162A9B">
            <w:pPr>
              <w:pStyle w:val="Body-Table-TextCentred"/>
              <w:keepNext/>
            </w:pPr>
            <w:r w:rsidRPr="00843077">
              <w:rPr>
                <w:noProof/>
              </w:rPr>
              <w:t>0</w:t>
            </w:r>
          </w:p>
        </w:tc>
        <w:tc>
          <w:tcPr>
            <w:tcW w:w="403" w:type="pct"/>
            <w:vAlign w:val="center"/>
          </w:tcPr>
          <w:p w:rsidR="001C4AD2" w:rsidRPr="00C36678" w:rsidRDefault="001C4AD2" w:rsidP="00162A9B">
            <w:pPr>
              <w:pStyle w:val="Body-Table-TextCentred"/>
              <w:keepNext/>
            </w:pPr>
            <w:r w:rsidRPr="00843077">
              <w:rPr>
                <w:noProof/>
              </w:rPr>
              <w:t>4</w:t>
            </w:r>
          </w:p>
        </w:tc>
        <w:tc>
          <w:tcPr>
            <w:tcW w:w="406" w:type="pct"/>
            <w:shd w:val="clear" w:color="auto" w:fill="auto"/>
            <w:vAlign w:val="center"/>
          </w:tcPr>
          <w:p w:rsidR="001C4AD2" w:rsidRPr="00C36678" w:rsidRDefault="001C4AD2" w:rsidP="00162A9B">
            <w:pPr>
              <w:pStyle w:val="Body-Table-TextCentred"/>
              <w:keepNext/>
            </w:pPr>
            <w:r w:rsidRPr="00843077">
              <w:rPr>
                <w:noProof/>
              </w:rPr>
              <w:t>4</w:t>
            </w:r>
          </w:p>
        </w:tc>
        <w:tc>
          <w:tcPr>
            <w:tcW w:w="2223" w:type="pct"/>
            <w:vMerge/>
            <w:tcBorders>
              <w:bottom w:val="nil"/>
              <w:right w:val="nil"/>
            </w:tcBorders>
            <w:shd w:val="clear" w:color="auto" w:fill="auto"/>
          </w:tcPr>
          <w:p w:rsidR="001C4AD2" w:rsidRPr="00C36678" w:rsidRDefault="001C4AD2" w:rsidP="00366D44">
            <w:pPr>
              <w:pStyle w:val="Body-Table-TextCentred"/>
            </w:pPr>
          </w:p>
        </w:tc>
      </w:tr>
      <w:tr w:rsidR="001C4AD2" w:rsidRPr="00C36678" w:rsidTr="00794C20">
        <w:trPr>
          <w:trHeight w:val="367"/>
        </w:trPr>
        <w:tc>
          <w:tcPr>
            <w:tcW w:w="1563" w:type="pct"/>
            <w:shd w:val="clear" w:color="auto" w:fill="auto"/>
            <w:vAlign w:val="center"/>
          </w:tcPr>
          <w:p w:rsidR="001C4AD2" w:rsidRPr="00C36678" w:rsidRDefault="001C4AD2"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1C4AD2" w:rsidRPr="00C36678" w:rsidRDefault="001C4AD2" w:rsidP="00162A9B">
            <w:pPr>
              <w:pStyle w:val="Body-Table-TextCentred"/>
              <w:keepNext/>
            </w:pPr>
            <w:r w:rsidRPr="00843077">
              <w:rPr>
                <w:noProof/>
              </w:rPr>
              <w:t>0</w:t>
            </w:r>
          </w:p>
        </w:tc>
        <w:tc>
          <w:tcPr>
            <w:tcW w:w="403" w:type="pct"/>
            <w:vAlign w:val="center"/>
          </w:tcPr>
          <w:p w:rsidR="001C4AD2" w:rsidRPr="00C36678" w:rsidRDefault="001C4AD2" w:rsidP="00162A9B">
            <w:pPr>
              <w:pStyle w:val="Body-Table-TextCentred"/>
              <w:keepNext/>
            </w:pPr>
            <w:r w:rsidRPr="00843077">
              <w:rPr>
                <w:noProof/>
              </w:rPr>
              <w:t>0</w:t>
            </w:r>
          </w:p>
        </w:tc>
        <w:tc>
          <w:tcPr>
            <w:tcW w:w="406" w:type="pct"/>
            <w:shd w:val="clear" w:color="auto" w:fill="auto"/>
            <w:vAlign w:val="center"/>
          </w:tcPr>
          <w:p w:rsidR="001C4AD2" w:rsidRPr="00C36678" w:rsidRDefault="001C4AD2" w:rsidP="00162A9B">
            <w:pPr>
              <w:pStyle w:val="Body-Table-TextCentred"/>
              <w:keepNext/>
            </w:pPr>
            <w:r w:rsidRPr="00843077">
              <w:rPr>
                <w:noProof/>
              </w:rPr>
              <w:t>0</w:t>
            </w:r>
          </w:p>
        </w:tc>
        <w:tc>
          <w:tcPr>
            <w:tcW w:w="2223" w:type="pct"/>
            <w:vMerge/>
            <w:tcBorders>
              <w:bottom w:val="nil"/>
              <w:right w:val="nil"/>
            </w:tcBorders>
            <w:shd w:val="clear" w:color="auto" w:fill="auto"/>
          </w:tcPr>
          <w:p w:rsidR="001C4AD2" w:rsidRPr="00C36678" w:rsidRDefault="001C4AD2" w:rsidP="00366D44">
            <w:pPr>
              <w:pStyle w:val="Body-Table-TextCentred"/>
            </w:pPr>
          </w:p>
        </w:tc>
      </w:tr>
      <w:tr w:rsidR="001C4AD2" w:rsidRPr="00C36678" w:rsidTr="00794C20">
        <w:trPr>
          <w:trHeight w:val="367"/>
        </w:trPr>
        <w:tc>
          <w:tcPr>
            <w:tcW w:w="1563" w:type="pct"/>
            <w:shd w:val="clear" w:color="auto" w:fill="auto"/>
            <w:vAlign w:val="center"/>
          </w:tcPr>
          <w:p w:rsidR="001C4AD2" w:rsidRPr="00C36678" w:rsidRDefault="001C4AD2" w:rsidP="00162A9B">
            <w:pPr>
              <w:pStyle w:val="Body-Table-Text"/>
              <w:keepNext/>
              <w:rPr>
                <w:rFonts w:eastAsia="Meiryo"/>
              </w:rPr>
            </w:pPr>
            <w:r w:rsidRPr="00C36678">
              <w:rPr>
                <w:rFonts w:eastAsia="Meiryo"/>
              </w:rPr>
              <w:t>Exclusions</w:t>
            </w:r>
          </w:p>
        </w:tc>
        <w:tc>
          <w:tcPr>
            <w:tcW w:w="405" w:type="pct"/>
            <w:vAlign w:val="center"/>
          </w:tcPr>
          <w:p w:rsidR="001C4AD2" w:rsidRPr="00C36678" w:rsidRDefault="001C4AD2" w:rsidP="00162A9B">
            <w:pPr>
              <w:pStyle w:val="Body-Table-TextCentred"/>
              <w:keepNext/>
            </w:pPr>
            <w:r w:rsidRPr="00843077">
              <w:rPr>
                <w:noProof/>
              </w:rPr>
              <w:t>0</w:t>
            </w:r>
          </w:p>
        </w:tc>
        <w:tc>
          <w:tcPr>
            <w:tcW w:w="403" w:type="pct"/>
            <w:vAlign w:val="center"/>
          </w:tcPr>
          <w:p w:rsidR="001C4AD2" w:rsidRPr="00C36678" w:rsidRDefault="001C4AD2" w:rsidP="00162A9B">
            <w:pPr>
              <w:pStyle w:val="Body-Table-TextCentred"/>
              <w:keepNext/>
            </w:pPr>
            <w:r w:rsidRPr="00843077">
              <w:rPr>
                <w:noProof/>
              </w:rPr>
              <w:t>0</w:t>
            </w:r>
          </w:p>
        </w:tc>
        <w:tc>
          <w:tcPr>
            <w:tcW w:w="406" w:type="pct"/>
            <w:shd w:val="clear" w:color="auto" w:fill="auto"/>
            <w:vAlign w:val="center"/>
          </w:tcPr>
          <w:p w:rsidR="001C4AD2" w:rsidRPr="00C36678" w:rsidRDefault="001C4AD2" w:rsidP="00162A9B">
            <w:pPr>
              <w:pStyle w:val="Body-Table-TextCentred"/>
              <w:keepNext/>
            </w:pPr>
            <w:r w:rsidRPr="00843077">
              <w:rPr>
                <w:noProof/>
              </w:rPr>
              <w:t>0</w:t>
            </w:r>
          </w:p>
        </w:tc>
        <w:tc>
          <w:tcPr>
            <w:tcW w:w="2223" w:type="pct"/>
            <w:vMerge/>
            <w:tcBorders>
              <w:bottom w:val="nil"/>
              <w:right w:val="nil"/>
            </w:tcBorders>
            <w:shd w:val="clear" w:color="auto" w:fill="auto"/>
          </w:tcPr>
          <w:p w:rsidR="001C4AD2" w:rsidRPr="00C36678" w:rsidRDefault="001C4AD2" w:rsidP="00366D44">
            <w:pPr>
              <w:pStyle w:val="Body-Table-TextCentred"/>
            </w:pPr>
          </w:p>
        </w:tc>
      </w:tr>
      <w:tr w:rsidR="001C4AD2" w:rsidRPr="00C36678" w:rsidTr="00794C20">
        <w:trPr>
          <w:trHeight w:val="367"/>
        </w:trPr>
        <w:tc>
          <w:tcPr>
            <w:tcW w:w="1563" w:type="pct"/>
            <w:shd w:val="clear" w:color="auto" w:fill="auto"/>
            <w:vAlign w:val="center"/>
          </w:tcPr>
          <w:p w:rsidR="001C4AD2" w:rsidRPr="00C36678" w:rsidRDefault="001C4AD2" w:rsidP="00162A9B">
            <w:pPr>
              <w:pStyle w:val="Body-Table-Text"/>
              <w:keepNext/>
              <w:rPr>
                <w:rFonts w:eastAsia="Meiryo"/>
              </w:rPr>
            </w:pPr>
            <w:r w:rsidRPr="00C36678">
              <w:rPr>
                <w:rFonts w:eastAsia="Meiryo"/>
              </w:rPr>
              <w:t>Cancellations of enrolment</w:t>
            </w:r>
          </w:p>
        </w:tc>
        <w:tc>
          <w:tcPr>
            <w:tcW w:w="405" w:type="pct"/>
            <w:vAlign w:val="center"/>
          </w:tcPr>
          <w:p w:rsidR="001C4AD2" w:rsidRPr="00C36678" w:rsidRDefault="001C4AD2" w:rsidP="00162A9B">
            <w:pPr>
              <w:pStyle w:val="Body-Table-TextCentred"/>
              <w:keepNext/>
            </w:pPr>
            <w:r w:rsidRPr="00843077">
              <w:rPr>
                <w:noProof/>
              </w:rPr>
              <w:t>0</w:t>
            </w:r>
          </w:p>
        </w:tc>
        <w:tc>
          <w:tcPr>
            <w:tcW w:w="403" w:type="pct"/>
            <w:vAlign w:val="center"/>
          </w:tcPr>
          <w:p w:rsidR="001C4AD2" w:rsidRPr="00C36678" w:rsidRDefault="001C4AD2" w:rsidP="00162A9B">
            <w:pPr>
              <w:pStyle w:val="Body-Table-TextCentred"/>
              <w:keepNext/>
            </w:pPr>
            <w:r w:rsidRPr="00843077">
              <w:rPr>
                <w:noProof/>
              </w:rPr>
              <w:t>0</w:t>
            </w:r>
          </w:p>
        </w:tc>
        <w:tc>
          <w:tcPr>
            <w:tcW w:w="406" w:type="pct"/>
            <w:shd w:val="clear" w:color="auto" w:fill="auto"/>
            <w:vAlign w:val="center"/>
          </w:tcPr>
          <w:p w:rsidR="001C4AD2" w:rsidRPr="00C36678" w:rsidRDefault="001C4AD2" w:rsidP="00162A9B">
            <w:pPr>
              <w:pStyle w:val="Body-Table-TextCentred"/>
              <w:keepNext/>
            </w:pPr>
            <w:r w:rsidRPr="00843077">
              <w:rPr>
                <w:noProof/>
              </w:rPr>
              <w:t>0</w:t>
            </w:r>
          </w:p>
        </w:tc>
        <w:tc>
          <w:tcPr>
            <w:tcW w:w="2223" w:type="pct"/>
            <w:vMerge/>
            <w:tcBorders>
              <w:bottom w:val="nil"/>
              <w:right w:val="nil"/>
            </w:tcBorders>
            <w:shd w:val="clear" w:color="auto" w:fill="auto"/>
          </w:tcPr>
          <w:p w:rsidR="001C4AD2" w:rsidRPr="00C36678" w:rsidRDefault="001C4AD2" w:rsidP="00366D44">
            <w:pPr>
              <w:pStyle w:val="Body-Table-TextCentred"/>
            </w:pPr>
          </w:p>
        </w:tc>
      </w:tr>
    </w:tbl>
    <w:p w:rsidR="001C4AD2" w:rsidRPr="00C36678" w:rsidRDefault="001C4AD2" w:rsidP="006D0DA4">
      <w:pPr>
        <w:pStyle w:val="Body-Text"/>
      </w:pPr>
    </w:p>
    <w:p w:rsidR="001C4AD2" w:rsidRPr="00C36678" w:rsidRDefault="001C4AD2" w:rsidP="00A954D3">
      <w:pPr>
        <w:pStyle w:val="Body-Text-Smallspace"/>
      </w:pPr>
    </w:p>
    <w:p w:rsidR="001C4AD2" w:rsidRPr="00C36678" w:rsidRDefault="001C4AD2" w:rsidP="00B13A38">
      <w:pPr>
        <w:pStyle w:val="Heading2-AR"/>
      </w:pPr>
      <w:r w:rsidRPr="00C36678">
        <w:t>Environmental footprint</w:t>
      </w:r>
    </w:p>
    <w:p w:rsidR="001C4AD2" w:rsidRPr="00C36678" w:rsidRDefault="001C4AD2" w:rsidP="00A954D3">
      <w:pPr>
        <w:pStyle w:val="Body-Text-Smallspace"/>
      </w:pPr>
    </w:p>
    <w:p w:rsidR="001C4AD2" w:rsidRPr="00C36678" w:rsidRDefault="001C4AD2" w:rsidP="00B13A38">
      <w:pPr>
        <w:pStyle w:val="Heading3-AR"/>
      </w:pPr>
      <w:r w:rsidRPr="00C36678">
        <w:t>Reducing this school’s environmental footprint</w:t>
      </w: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1C4AD2" w:rsidRPr="00C36678" w:rsidRDefault="001C4AD2" w:rsidP="00456FE9">
      <w:pPr>
        <w:pStyle w:val="Body-Text-Smallspace"/>
      </w:pPr>
    </w:p>
    <w:p w:rsidR="001C4AD2" w:rsidRPr="00C36678" w:rsidRDefault="001C4AD2"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1C4AD2" w:rsidRPr="00C36678" w:rsidTr="00AD614C">
        <w:trPr>
          <w:trHeight w:val="525"/>
          <w:tblHeader/>
        </w:trPr>
        <w:tc>
          <w:tcPr>
            <w:tcW w:w="816" w:type="pct"/>
            <w:shd w:val="clear" w:color="auto" w:fill="C1ECFF"/>
            <w:vAlign w:val="center"/>
          </w:tcPr>
          <w:p w:rsidR="001C4AD2" w:rsidRPr="00C36678" w:rsidRDefault="001C4AD2" w:rsidP="00503CB9">
            <w:pPr>
              <w:pStyle w:val="Body-Table-Heading"/>
              <w:keepNext/>
            </w:pPr>
            <w:r w:rsidRPr="00C36678">
              <w:t>Utility category</w:t>
            </w:r>
          </w:p>
        </w:tc>
        <w:tc>
          <w:tcPr>
            <w:tcW w:w="586" w:type="pct"/>
            <w:shd w:val="clear" w:color="auto" w:fill="C1ECFF"/>
            <w:vAlign w:val="center"/>
          </w:tcPr>
          <w:p w:rsidR="001C4AD2" w:rsidRPr="00C36678" w:rsidRDefault="001C4AD2" w:rsidP="00503CB9">
            <w:pPr>
              <w:pStyle w:val="Body-Table-HeadingCentred"/>
              <w:keepNext/>
            </w:pPr>
            <w:r w:rsidRPr="00C36678">
              <w:t>2016–2017</w:t>
            </w:r>
          </w:p>
        </w:tc>
        <w:tc>
          <w:tcPr>
            <w:tcW w:w="660" w:type="pct"/>
            <w:shd w:val="clear" w:color="auto" w:fill="C1ECFF"/>
            <w:vAlign w:val="center"/>
          </w:tcPr>
          <w:p w:rsidR="001C4AD2" w:rsidRPr="00C36678" w:rsidRDefault="001C4AD2"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1C4AD2" w:rsidRPr="00C36678" w:rsidRDefault="001C4AD2"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1C4AD2" w:rsidRPr="00C36678" w:rsidRDefault="001C4AD2" w:rsidP="00503CB9">
            <w:pPr>
              <w:pStyle w:val="Body-Text-Smallspace"/>
            </w:pPr>
          </w:p>
          <w:p w:rsidR="001C4AD2" w:rsidRPr="00C36678" w:rsidRDefault="001C4AD2" w:rsidP="00503CB9">
            <w:pPr>
              <w:pStyle w:val="Body-Table-Note"/>
            </w:pPr>
            <w:r w:rsidRPr="00C36678">
              <w:t>Note:</w:t>
            </w:r>
          </w:p>
          <w:p w:rsidR="001C4AD2" w:rsidRPr="00C36678" w:rsidRDefault="001C4AD2"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1C4AD2" w:rsidRPr="00C36678" w:rsidRDefault="001C4AD2" w:rsidP="00503CB9">
            <w:pPr>
              <w:pStyle w:val="Body-Table-Note"/>
            </w:pPr>
            <w:r w:rsidRPr="00C36678">
              <w:t>*OneSchool is the department's comprehensive software suite that schools use to run safe, secure, sustainable and consistent reporting and administrative processes.</w:t>
            </w:r>
          </w:p>
        </w:tc>
      </w:tr>
      <w:tr w:rsidR="001C4AD2" w:rsidRPr="00C36678" w:rsidTr="00233BEA">
        <w:trPr>
          <w:trHeight w:val="525"/>
        </w:trPr>
        <w:tc>
          <w:tcPr>
            <w:tcW w:w="816" w:type="pct"/>
            <w:shd w:val="clear" w:color="auto" w:fill="auto"/>
            <w:vAlign w:val="center"/>
          </w:tcPr>
          <w:p w:rsidR="001C4AD2" w:rsidRPr="00C36678" w:rsidRDefault="001C4AD2" w:rsidP="00162A9B">
            <w:pPr>
              <w:pStyle w:val="Body-Table-Text"/>
              <w:keepNext/>
              <w:rPr>
                <w:rFonts w:eastAsia="Meiryo"/>
              </w:rPr>
            </w:pPr>
            <w:r w:rsidRPr="00C36678">
              <w:t>Electricity (kWh)</w:t>
            </w:r>
          </w:p>
        </w:tc>
        <w:tc>
          <w:tcPr>
            <w:tcW w:w="586" w:type="pct"/>
            <w:vAlign w:val="center"/>
          </w:tcPr>
          <w:p w:rsidR="001C4AD2" w:rsidRPr="00C36678" w:rsidRDefault="001C4AD2" w:rsidP="00233BEA">
            <w:pPr>
              <w:pStyle w:val="Body-Table-TextCentred"/>
              <w:keepNext/>
            </w:pPr>
            <w:r w:rsidRPr="00843077">
              <w:rPr>
                <w:noProof/>
              </w:rPr>
              <w:t>39,324</w:t>
            </w:r>
          </w:p>
        </w:tc>
        <w:tc>
          <w:tcPr>
            <w:tcW w:w="660" w:type="pct"/>
            <w:vAlign w:val="center"/>
          </w:tcPr>
          <w:p w:rsidR="001C4AD2" w:rsidRPr="00C36678" w:rsidRDefault="001C4AD2" w:rsidP="00233BEA">
            <w:pPr>
              <w:pStyle w:val="Body-Table-TextCentred"/>
              <w:keepNext/>
            </w:pPr>
            <w:r w:rsidRPr="00843077">
              <w:rPr>
                <w:noProof/>
              </w:rPr>
              <w:t>38,064</w:t>
            </w:r>
          </w:p>
        </w:tc>
        <w:tc>
          <w:tcPr>
            <w:tcW w:w="660" w:type="pct"/>
            <w:tcBorders>
              <w:right w:val="single" w:sz="4" w:space="0" w:color="808080"/>
            </w:tcBorders>
            <w:vAlign w:val="center"/>
          </w:tcPr>
          <w:p w:rsidR="001C4AD2" w:rsidRPr="00C36678" w:rsidRDefault="001C4AD2" w:rsidP="00233BEA">
            <w:pPr>
              <w:pStyle w:val="Body-Table-TextCentred"/>
              <w:keepNext/>
            </w:pPr>
            <w:r w:rsidRPr="00843077">
              <w:rPr>
                <w:noProof/>
              </w:rPr>
              <w:t>39,784</w:t>
            </w:r>
          </w:p>
        </w:tc>
        <w:tc>
          <w:tcPr>
            <w:tcW w:w="2278" w:type="pct"/>
            <w:vMerge/>
            <w:tcBorders>
              <w:left w:val="single" w:sz="4" w:space="0" w:color="808080"/>
              <w:bottom w:val="nil"/>
              <w:right w:val="nil"/>
            </w:tcBorders>
            <w:shd w:val="clear" w:color="auto" w:fill="auto"/>
          </w:tcPr>
          <w:p w:rsidR="001C4AD2" w:rsidRPr="00C36678" w:rsidRDefault="001C4AD2" w:rsidP="00F2363E">
            <w:pPr>
              <w:pStyle w:val="Body-Table-TextCentred"/>
            </w:pPr>
          </w:p>
        </w:tc>
      </w:tr>
      <w:tr w:rsidR="001C4AD2" w:rsidRPr="00C36678" w:rsidTr="00233BEA">
        <w:trPr>
          <w:trHeight w:val="525"/>
        </w:trPr>
        <w:tc>
          <w:tcPr>
            <w:tcW w:w="816" w:type="pct"/>
            <w:tcBorders>
              <w:bottom w:val="single" w:sz="4" w:space="0" w:color="808080"/>
            </w:tcBorders>
            <w:shd w:val="clear" w:color="auto" w:fill="auto"/>
            <w:vAlign w:val="center"/>
          </w:tcPr>
          <w:p w:rsidR="001C4AD2" w:rsidRPr="00C36678" w:rsidRDefault="001C4AD2" w:rsidP="00162A9B">
            <w:pPr>
              <w:pStyle w:val="Body-Table-Text"/>
              <w:keepNext/>
              <w:rPr>
                <w:rFonts w:eastAsia="Meiryo"/>
              </w:rPr>
            </w:pPr>
            <w:r w:rsidRPr="00C36678">
              <w:t>Water (kL)</w:t>
            </w:r>
          </w:p>
        </w:tc>
        <w:tc>
          <w:tcPr>
            <w:tcW w:w="586" w:type="pct"/>
            <w:tcBorders>
              <w:bottom w:val="single" w:sz="4" w:space="0" w:color="808080"/>
            </w:tcBorders>
            <w:vAlign w:val="center"/>
          </w:tcPr>
          <w:p w:rsidR="001C4AD2" w:rsidRPr="00C36678" w:rsidRDefault="00122AD4" w:rsidP="00233BEA">
            <w:pPr>
              <w:pStyle w:val="Body-Table-TextCentred"/>
              <w:keepNext/>
            </w:pPr>
            <w:r>
              <w:t>Bore/Tank water</w:t>
            </w:r>
          </w:p>
        </w:tc>
        <w:tc>
          <w:tcPr>
            <w:tcW w:w="660" w:type="pct"/>
            <w:tcBorders>
              <w:bottom w:val="single" w:sz="4" w:space="0" w:color="808080"/>
            </w:tcBorders>
            <w:vAlign w:val="center"/>
          </w:tcPr>
          <w:p w:rsidR="001C4AD2" w:rsidRPr="00C36678" w:rsidRDefault="00122AD4" w:rsidP="00233BEA">
            <w:pPr>
              <w:pStyle w:val="Body-Table-TextCentred"/>
              <w:keepNext/>
            </w:pPr>
            <w:r>
              <w:t>Bore/Tank water</w:t>
            </w:r>
          </w:p>
        </w:tc>
        <w:tc>
          <w:tcPr>
            <w:tcW w:w="660" w:type="pct"/>
            <w:tcBorders>
              <w:bottom w:val="single" w:sz="4" w:space="0" w:color="808080"/>
              <w:right w:val="single" w:sz="4" w:space="0" w:color="808080"/>
            </w:tcBorders>
            <w:vAlign w:val="center"/>
          </w:tcPr>
          <w:p w:rsidR="001C4AD2" w:rsidRPr="00C36678" w:rsidRDefault="00122AD4" w:rsidP="00233BEA">
            <w:pPr>
              <w:pStyle w:val="Body-Table-TextCentred"/>
              <w:keepNext/>
            </w:pPr>
            <w:r>
              <w:t>Bore/Tank water</w:t>
            </w:r>
          </w:p>
        </w:tc>
        <w:tc>
          <w:tcPr>
            <w:tcW w:w="2278" w:type="pct"/>
            <w:vMerge/>
            <w:tcBorders>
              <w:left w:val="single" w:sz="4" w:space="0" w:color="808080"/>
              <w:bottom w:val="nil"/>
              <w:right w:val="nil"/>
            </w:tcBorders>
            <w:shd w:val="clear" w:color="auto" w:fill="auto"/>
          </w:tcPr>
          <w:p w:rsidR="001C4AD2" w:rsidRPr="00C36678" w:rsidRDefault="001C4AD2" w:rsidP="00F2363E">
            <w:pPr>
              <w:pStyle w:val="Body-Table-TextCentred"/>
            </w:pPr>
          </w:p>
        </w:tc>
      </w:tr>
      <w:tr w:rsidR="001C4AD2" w:rsidRPr="00C36678" w:rsidTr="00233BEA">
        <w:trPr>
          <w:trHeight w:val="525"/>
        </w:trPr>
        <w:tc>
          <w:tcPr>
            <w:tcW w:w="816" w:type="pct"/>
            <w:tcBorders>
              <w:left w:val="nil"/>
              <w:bottom w:val="nil"/>
              <w:right w:val="nil"/>
            </w:tcBorders>
            <w:shd w:val="clear" w:color="auto" w:fill="auto"/>
            <w:vAlign w:val="center"/>
          </w:tcPr>
          <w:p w:rsidR="001C4AD2" w:rsidRPr="00C36678" w:rsidRDefault="001C4AD2" w:rsidP="00162A9B">
            <w:pPr>
              <w:pStyle w:val="Body-Table-Text"/>
              <w:keepNext/>
            </w:pPr>
          </w:p>
        </w:tc>
        <w:tc>
          <w:tcPr>
            <w:tcW w:w="586" w:type="pct"/>
            <w:tcBorders>
              <w:left w:val="nil"/>
              <w:bottom w:val="nil"/>
              <w:right w:val="nil"/>
            </w:tcBorders>
            <w:vAlign w:val="center"/>
          </w:tcPr>
          <w:p w:rsidR="001C4AD2" w:rsidRPr="00C36678" w:rsidRDefault="001C4AD2" w:rsidP="00233BEA">
            <w:pPr>
              <w:pStyle w:val="Body-Table-TextCentred"/>
              <w:keepNext/>
            </w:pPr>
          </w:p>
        </w:tc>
        <w:tc>
          <w:tcPr>
            <w:tcW w:w="660" w:type="pct"/>
            <w:tcBorders>
              <w:left w:val="nil"/>
              <w:bottom w:val="nil"/>
              <w:right w:val="nil"/>
            </w:tcBorders>
            <w:vAlign w:val="center"/>
          </w:tcPr>
          <w:p w:rsidR="001C4AD2" w:rsidRPr="00C36678" w:rsidRDefault="001C4AD2" w:rsidP="00233BEA">
            <w:pPr>
              <w:pStyle w:val="Body-Table-TextCentred"/>
              <w:keepNext/>
            </w:pPr>
          </w:p>
        </w:tc>
        <w:tc>
          <w:tcPr>
            <w:tcW w:w="660" w:type="pct"/>
            <w:tcBorders>
              <w:left w:val="nil"/>
              <w:bottom w:val="nil"/>
              <w:right w:val="nil"/>
            </w:tcBorders>
            <w:vAlign w:val="center"/>
          </w:tcPr>
          <w:p w:rsidR="001C4AD2" w:rsidRPr="00C36678" w:rsidRDefault="001C4AD2" w:rsidP="00233BEA">
            <w:pPr>
              <w:pStyle w:val="Body-Table-TextCentred"/>
              <w:keepNext/>
            </w:pPr>
          </w:p>
        </w:tc>
        <w:tc>
          <w:tcPr>
            <w:tcW w:w="2278" w:type="pct"/>
            <w:vMerge/>
            <w:tcBorders>
              <w:left w:val="nil"/>
              <w:bottom w:val="nil"/>
              <w:right w:val="nil"/>
            </w:tcBorders>
            <w:shd w:val="clear" w:color="auto" w:fill="auto"/>
          </w:tcPr>
          <w:p w:rsidR="001C4AD2" w:rsidRPr="00C36678" w:rsidRDefault="001C4AD2" w:rsidP="00F2363E">
            <w:pPr>
              <w:pStyle w:val="Body-Table-TextCentred"/>
            </w:pPr>
          </w:p>
        </w:tc>
      </w:tr>
    </w:tbl>
    <w:p w:rsidR="001C4AD2" w:rsidRDefault="001C4AD2" w:rsidP="00A954D3">
      <w:pPr>
        <w:pStyle w:val="Body-Text-Smallspace"/>
      </w:pPr>
    </w:p>
    <w:p w:rsidR="00122AD4" w:rsidRDefault="00122AD4" w:rsidP="00A954D3">
      <w:pPr>
        <w:pStyle w:val="Body-Text-Smallspace"/>
      </w:pPr>
    </w:p>
    <w:p w:rsidR="00122AD4" w:rsidRPr="00C36678" w:rsidRDefault="00122AD4" w:rsidP="00A954D3">
      <w:pPr>
        <w:pStyle w:val="Body-Text-Smallspace"/>
      </w:pPr>
    </w:p>
    <w:p w:rsidR="001C4AD2" w:rsidRPr="00C36678" w:rsidRDefault="001C4AD2" w:rsidP="00A607E8">
      <w:pPr>
        <w:pStyle w:val="Heading2-AR"/>
      </w:pPr>
      <w:r w:rsidRPr="00C36678">
        <w:t>School funding</w:t>
      </w:r>
    </w:p>
    <w:p w:rsidR="001C4AD2" w:rsidRPr="00C36678" w:rsidRDefault="001C4AD2" w:rsidP="00A954D3">
      <w:pPr>
        <w:pStyle w:val="Body-Text-Smallspace"/>
      </w:pPr>
    </w:p>
    <w:p w:rsidR="001C4AD2" w:rsidRPr="00C36678" w:rsidRDefault="001C4AD2" w:rsidP="00A607E8">
      <w:pPr>
        <w:pStyle w:val="Heading3-AR"/>
      </w:pPr>
      <w:r w:rsidRPr="00C36678">
        <w:t>School income broken down by funding source</w:t>
      </w:r>
    </w:p>
    <w:p w:rsidR="001C4AD2" w:rsidRPr="00C36678" w:rsidRDefault="001C4AD2"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7"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1C4AD2" w:rsidRPr="00C36678" w:rsidRDefault="001C4AD2" w:rsidP="00B81905">
      <w:pPr>
        <w:pStyle w:val="Heading4-AR"/>
      </w:pPr>
      <w:r w:rsidRPr="00C36678">
        <w:t>How to access our income details</w:t>
      </w:r>
    </w:p>
    <w:p w:rsidR="001C4AD2" w:rsidRPr="00C36678" w:rsidRDefault="001C4AD2"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8" w:history="1">
        <w:r w:rsidRPr="00C36678">
          <w:rPr>
            <w:rStyle w:val="Hyperlink"/>
            <w:rFonts w:cs="Arial"/>
            <w:szCs w:val="19"/>
            <w:lang w:val="en-AU"/>
          </w:rPr>
          <w:t>http://www.myschool.edu.au/</w:t>
        </w:r>
      </w:hyperlink>
      <w:r w:rsidRPr="00C36678">
        <w:rPr>
          <w:rFonts w:cs="Arial"/>
          <w:lang w:val="en-AU"/>
        </w:rPr>
        <w:t>.</w:t>
      </w:r>
    </w:p>
    <w:p w:rsidR="001C4AD2" w:rsidRPr="00C36678" w:rsidRDefault="001C4AD2" w:rsidP="00F7219D">
      <w:pPr>
        <w:pStyle w:val="Body-Text-List-Number"/>
        <w:rPr>
          <w:rFonts w:cs="Arial"/>
          <w:lang w:val="en-AU"/>
        </w:rPr>
      </w:pPr>
      <w:r w:rsidRPr="00C36678">
        <w:rPr>
          <w:rFonts w:cs="Arial"/>
          <w:lang w:val="en-AU"/>
        </w:rPr>
        <w:t>Enter the school name or suburb of the school you wish to search.</w:t>
      </w:r>
    </w:p>
    <w:p w:rsidR="001C4AD2" w:rsidRPr="00C36678" w:rsidRDefault="001C4AD2" w:rsidP="00AD614C">
      <w:pPr>
        <w:pStyle w:val="Body-Text-Smallspace"/>
      </w:pPr>
    </w:p>
    <w:p w:rsidR="001C4AD2" w:rsidRPr="00C36678" w:rsidRDefault="00EF3EEE" w:rsidP="00F7219D">
      <w:pPr>
        <w:pStyle w:val="Body-Text"/>
        <w:ind w:firstLine="851"/>
      </w:pPr>
      <w:r>
        <w:rPr>
          <w:noProof/>
        </w:rPr>
        <w:drawing>
          <wp:inline distT="0" distB="0" distL="0" distR="0">
            <wp:extent cx="5410200" cy="323850"/>
            <wp:effectExtent l="0" t="0" r="0" b="0"/>
            <wp:docPr id="2" name="Picture 2"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3850"/>
                    </a:xfrm>
                    <a:prstGeom prst="rect">
                      <a:avLst/>
                    </a:prstGeom>
                    <a:noFill/>
                    <a:ln>
                      <a:noFill/>
                    </a:ln>
                  </pic:spPr>
                </pic:pic>
              </a:graphicData>
            </a:graphic>
          </wp:inline>
        </w:drawing>
      </w:r>
    </w:p>
    <w:p w:rsidR="001C4AD2" w:rsidRPr="00C36678" w:rsidRDefault="001C4AD2" w:rsidP="00225D57">
      <w:pPr>
        <w:pStyle w:val="Body-Text-Smallspace"/>
      </w:pPr>
    </w:p>
    <w:p w:rsidR="001C4AD2" w:rsidRPr="00C36678" w:rsidRDefault="001C4AD2" w:rsidP="00F7219D">
      <w:pPr>
        <w:pStyle w:val="Body-Text-List-Number"/>
        <w:rPr>
          <w:rFonts w:cs="Arial"/>
          <w:lang w:val="en-AU"/>
        </w:rPr>
      </w:pPr>
      <w:r w:rsidRPr="00C36678">
        <w:rPr>
          <w:rFonts w:cs="Arial"/>
          <w:lang w:val="en-AU"/>
        </w:rPr>
        <w:t>Click on ‘View School Profile’ of the appropriate school to access the school’s profile.</w:t>
      </w:r>
    </w:p>
    <w:p w:rsidR="001C4AD2" w:rsidRPr="00C36678" w:rsidRDefault="001C4AD2" w:rsidP="00AD614C">
      <w:pPr>
        <w:pStyle w:val="Body-Text-Smallspace"/>
      </w:pPr>
    </w:p>
    <w:p w:rsidR="001C4AD2" w:rsidRPr="00C36678" w:rsidRDefault="00EF3EEE" w:rsidP="00225D57">
      <w:pPr>
        <w:pStyle w:val="Body-Text"/>
        <w:ind w:firstLine="851"/>
      </w:pPr>
      <w:r w:rsidRPr="00C36678">
        <w:rPr>
          <w:noProof/>
        </w:rPr>
        <w:drawing>
          <wp:inline distT="0" distB="0" distL="0" distR="0">
            <wp:extent cx="128587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1C4AD2" w:rsidRPr="00C36678" w:rsidRDefault="001C4AD2" w:rsidP="00B81905">
      <w:pPr>
        <w:pStyle w:val="Body-Text-Smallspace"/>
      </w:pPr>
    </w:p>
    <w:p w:rsidR="001C4AD2" w:rsidRPr="00C36678" w:rsidRDefault="001C4AD2" w:rsidP="00225D57">
      <w:pPr>
        <w:pStyle w:val="Body-Text-List-Number"/>
        <w:rPr>
          <w:rFonts w:cs="Arial"/>
          <w:lang w:val="en-AU"/>
        </w:rPr>
      </w:pPr>
      <w:r w:rsidRPr="00C36678">
        <w:rPr>
          <w:rFonts w:cs="Arial"/>
          <w:lang w:val="en-AU"/>
        </w:rPr>
        <w:t>Click on ‘Finances’ and select the appropriate year to view the school financial information.</w:t>
      </w:r>
    </w:p>
    <w:p w:rsidR="001C4AD2" w:rsidRPr="00C36678" w:rsidRDefault="001C4AD2" w:rsidP="00AD614C">
      <w:pPr>
        <w:pStyle w:val="Body-Text-Smallspace"/>
      </w:pPr>
    </w:p>
    <w:p w:rsidR="001C4AD2" w:rsidRPr="00C36678" w:rsidRDefault="00EF3EEE" w:rsidP="00225D57">
      <w:pPr>
        <w:pStyle w:val="Body-Text"/>
        <w:ind w:firstLine="851"/>
      </w:pPr>
      <w:r>
        <w:rPr>
          <w:noProof/>
        </w:rPr>
        <w:drawing>
          <wp:inline distT="0" distB="0" distL="0" distR="0">
            <wp:extent cx="5419725" cy="190500"/>
            <wp:effectExtent l="0" t="0" r="0" b="0"/>
            <wp:docPr id="4" name="Picture 4" descr="MySchool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SchoolFinan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9725" cy="190500"/>
                    </a:xfrm>
                    <a:prstGeom prst="rect">
                      <a:avLst/>
                    </a:prstGeom>
                    <a:noFill/>
                    <a:ln>
                      <a:noFill/>
                    </a:ln>
                  </pic:spPr>
                </pic:pic>
              </a:graphicData>
            </a:graphic>
          </wp:inline>
        </w:drawing>
      </w:r>
    </w:p>
    <w:p w:rsidR="001C4AD2" w:rsidRPr="00C36678" w:rsidRDefault="001C4AD2" w:rsidP="00B81905">
      <w:pPr>
        <w:pStyle w:val="Body-Text-Smallspace"/>
      </w:pPr>
    </w:p>
    <w:p w:rsidR="001C4AD2" w:rsidRPr="00C36678" w:rsidRDefault="001C4AD2" w:rsidP="00460D08">
      <w:pPr>
        <w:pStyle w:val="Body-Text-Note"/>
        <w:spacing w:after="60"/>
      </w:pPr>
      <w:r w:rsidRPr="00C36678">
        <w:t>Note:</w:t>
      </w:r>
    </w:p>
    <w:p w:rsidR="001C4AD2" w:rsidRPr="00C36678" w:rsidRDefault="001C4AD2" w:rsidP="00754AA3">
      <w:pPr>
        <w:pStyle w:val="Body-Text-Note"/>
      </w:pPr>
      <w:r w:rsidRPr="00C36678">
        <w:t>If you are unable to access the internet, please contact the school for a hard copy of the school’s financial information.</w:t>
      </w:r>
    </w:p>
    <w:p w:rsidR="001C4AD2" w:rsidRPr="00C36678" w:rsidRDefault="001C4AD2"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1C4AD2" w:rsidRPr="00C36678" w:rsidTr="00A972A9">
        <w:trPr>
          <w:cantSplit/>
        </w:trPr>
        <w:tc>
          <w:tcPr>
            <w:tcW w:w="5000" w:type="pct"/>
            <w:shd w:val="clear" w:color="auto" w:fill="003D69"/>
          </w:tcPr>
          <w:p w:rsidR="001C4AD2" w:rsidRPr="00C36678" w:rsidRDefault="001C4AD2" w:rsidP="00907B51">
            <w:pPr>
              <w:pStyle w:val="Heading1-AR"/>
            </w:pPr>
            <w:r w:rsidRPr="00C36678">
              <w:br w:type="page"/>
            </w:r>
            <w:r w:rsidRPr="00C36678">
              <w:rPr>
                <w:rFonts w:eastAsia="SimSun"/>
                <w:color w:val="auto"/>
                <w:sz w:val="22"/>
                <w:szCs w:val="22"/>
              </w:rPr>
              <w:br w:type="page"/>
            </w:r>
            <w:r w:rsidRPr="00C36678">
              <w:t>Our staff profile</w:t>
            </w:r>
          </w:p>
        </w:tc>
      </w:tr>
      <w:tr w:rsidR="001C4AD2" w:rsidRPr="00C36678" w:rsidTr="00A972A9">
        <w:trPr>
          <w:cantSplit/>
        </w:trPr>
        <w:tc>
          <w:tcPr>
            <w:tcW w:w="5000" w:type="pct"/>
            <w:shd w:val="clear" w:color="auto" w:fill="E1E4E7"/>
          </w:tcPr>
          <w:p w:rsidR="001C4AD2" w:rsidRPr="00C36678" w:rsidRDefault="001C4AD2" w:rsidP="0063618A">
            <w:pPr>
              <w:pStyle w:val="Heading12-AR"/>
            </w:pPr>
          </w:p>
        </w:tc>
      </w:tr>
    </w:tbl>
    <w:p w:rsidR="001C4AD2" w:rsidRPr="00C36678" w:rsidRDefault="001C4AD2" w:rsidP="00026640">
      <w:pPr>
        <w:pStyle w:val="Body-Text"/>
      </w:pPr>
    </w:p>
    <w:p w:rsidR="001C4AD2" w:rsidRPr="00C36678" w:rsidRDefault="001C4AD2" w:rsidP="00A954D3">
      <w:pPr>
        <w:pStyle w:val="Body-Text-Smallspace"/>
      </w:pPr>
    </w:p>
    <w:p w:rsidR="001C4AD2" w:rsidRPr="00C36678" w:rsidRDefault="001C4AD2" w:rsidP="00026640">
      <w:pPr>
        <w:pStyle w:val="Heading2-AR"/>
      </w:pPr>
      <w:r w:rsidRPr="00C36678">
        <w:t>Workforce composition</w:t>
      </w:r>
    </w:p>
    <w:p w:rsidR="001C4AD2" w:rsidRPr="00C36678" w:rsidRDefault="001C4AD2" w:rsidP="00A954D3">
      <w:pPr>
        <w:pStyle w:val="Body-Text-Smallspace"/>
      </w:pPr>
    </w:p>
    <w:p w:rsidR="001C4AD2" w:rsidRPr="00C36678" w:rsidRDefault="001C4AD2" w:rsidP="00537922">
      <w:pPr>
        <w:pStyle w:val="Heading3-AR"/>
      </w:pPr>
      <w:r w:rsidRPr="00C36678">
        <w:t>Staff composition, including Indigenous staff</w:t>
      </w:r>
    </w:p>
    <w:p w:rsidR="001C4AD2" w:rsidRPr="00C36678" w:rsidRDefault="001C4AD2" w:rsidP="00456FE9">
      <w:pPr>
        <w:pStyle w:val="Body-Text-Smallspace"/>
      </w:pPr>
    </w:p>
    <w:p w:rsidR="001C4AD2" w:rsidRPr="00C36678" w:rsidRDefault="001C4AD2"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1C4AD2" w:rsidRPr="00C36678" w:rsidTr="00AD614C">
        <w:trPr>
          <w:trHeight w:val="340"/>
          <w:tblHeader/>
        </w:trPr>
        <w:tc>
          <w:tcPr>
            <w:tcW w:w="2411" w:type="dxa"/>
            <w:shd w:val="clear" w:color="auto" w:fill="C1ECFF"/>
            <w:vAlign w:val="center"/>
          </w:tcPr>
          <w:p w:rsidR="001C4AD2" w:rsidRPr="00C36678" w:rsidRDefault="001C4AD2" w:rsidP="00162A9B">
            <w:pPr>
              <w:pStyle w:val="Body-Table-Heading"/>
              <w:keepNext/>
            </w:pPr>
            <w:r w:rsidRPr="00C36678">
              <w:t>Description</w:t>
            </w:r>
          </w:p>
        </w:tc>
        <w:tc>
          <w:tcPr>
            <w:tcW w:w="2411" w:type="dxa"/>
            <w:shd w:val="clear" w:color="auto" w:fill="C1ECFF"/>
            <w:vAlign w:val="center"/>
          </w:tcPr>
          <w:p w:rsidR="001C4AD2" w:rsidRPr="00C36678" w:rsidRDefault="001C4AD2" w:rsidP="00162A9B">
            <w:pPr>
              <w:pStyle w:val="Body-Table-HeadingCentred"/>
              <w:keepNext/>
            </w:pPr>
            <w:r w:rsidRPr="00C36678">
              <w:t>Teaching staff*</w:t>
            </w:r>
          </w:p>
        </w:tc>
        <w:tc>
          <w:tcPr>
            <w:tcW w:w="2411" w:type="dxa"/>
            <w:shd w:val="clear" w:color="auto" w:fill="C1ECFF"/>
            <w:vAlign w:val="center"/>
          </w:tcPr>
          <w:p w:rsidR="001C4AD2" w:rsidRPr="00C36678" w:rsidRDefault="001C4AD2" w:rsidP="00162A9B">
            <w:pPr>
              <w:pStyle w:val="Body-Table-HeadingCentred"/>
              <w:keepNext/>
            </w:pPr>
            <w:r w:rsidRPr="00C36678">
              <w:t>Non-teaching staff</w:t>
            </w:r>
          </w:p>
        </w:tc>
        <w:tc>
          <w:tcPr>
            <w:tcW w:w="2412" w:type="dxa"/>
            <w:shd w:val="clear" w:color="auto" w:fill="C1ECFF"/>
            <w:vAlign w:val="center"/>
          </w:tcPr>
          <w:p w:rsidR="001C4AD2" w:rsidRPr="00C36678" w:rsidRDefault="001C4AD2" w:rsidP="00162A9B">
            <w:pPr>
              <w:pStyle w:val="Body-Table-HeadingCentred"/>
              <w:keepNext/>
            </w:pPr>
            <w:r w:rsidRPr="00C36678">
              <w:t>Indigenous** staff</w:t>
            </w:r>
          </w:p>
        </w:tc>
      </w:tr>
      <w:tr w:rsidR="001C4AD2" w:rsidRPr="00C36678" w:rsidTr="00AD614C">
        <w:trPr>
          <w:trHeight w:val="340"/>
        </w:trPr>
        <w:tc>
          <w:tcPr>
            <w:tcW w:w="2411" w:type="dxa"/>
            <w:shd w:val="clear" w:color="auto" w:fill="auto"/>
            <w:vAlign w:val="center"/>
          </w:tcPr>
          <w:p w:rsidR="001C4AD2" w:rsidRPr="00C36678" w:rsidRDefault="001C4AD2" w:rsidP="00162A9B">
            <w:pPr>
              <w:pStyle w:val="Body-Table-Text"/>
              <w:keepNext/>
              <w:rPr>
                <w:rFonts w:eastAsia="Meiryo"/>
              </w:rPr>
            </w:pPr>
            <w:r w:rsidRPr="00C36678">
              <w:rPr>
                <w:rFonts w:eastAsia="Meiryo"/>
              </w:rPr>
              <w:t>Headcounts</w:t>
            </w:r>
          </w:p>
        </w:tc>
        <w:tc>
          <w:tcPr>
            <w:tcW w:w="2411" w:type="dxa"/>
            <w:shd w:val="clear" w:color="auto" w:fill="auto"/>
            <w:vAlign w:val="center"/>
          </w:tcPr>
          <w:p w:rsidR="001C4AD2" w:rsidRPr="00C36678" w:rsidRDefault="001C4AD2" w:rsidP="00286407">
            <w:pPr>
              <w:pStyle w:val="Body-Table-TextCentred"/>
              <w:keepNext/>
            </w:pPr>
            <w:r w:rsidRPr="00843077">
              <w:rPr>
                <w:noProof/>
              </w:rPr>
              <w:t>13</w:t>
            </w:r>
          </w:p>
        </w:tc>
        <w:tc>
          <w:tcPr>
            <w:tcW w:w="2411" w:type="dxa"/>
            <w:shd w:val="clear" w:color="auto" w:fill="auto"/>
            <w:vAlign w:val="center"/>
          </w:tcPr>
          <w:p w:rsidR="001C4AD2" w:rsidRPr="00C36678" w:rsidRDefault="001C4AD2" w:rsidP="00162A9B">
            <w:pPr>
              <w:pStyle w:val="Body-Table-TextCentred"/>
              <w:keepNext/>
            </w:pPr>
            <w:r w:rsidRPr="00843077">
              <w:rPr>
                <w:noProof/>
              </w:rPr>
              <w:t>11</w:t>
            </w:r>
          </w:p>
        </w:tc>
        <w:tc>
          <w:tcPr>
            <w:tcW w:w="2412" w:type="dxa"/>
            <w:shd w:val="clear" w:color="auto" w:fill="auto"/>
            <w:vAlign w:val="center"/>
          </w:tcPr>
          <w:p w:rsidR="001C4AD2" w:rsidRPr="00C36678" w:rsidRDefault="001C4AD2" w:rsidP="00214F8D">
            <w:pPr>
              <w:pStyle w:val="Body-Table-TextCentred"/>
              <w:keepNext/>
            </w:pPr>
            <w:r w:rsidRPr="00843077">
              <w:rPr>
                <w:noProof/>
              </w:rPr>
              <w:t>0</w:t>
            </w:r>
          </w:p>
        </w:tc>
      </w:tr>
      <w:tr w:rsidR="001C4AD2" w:rsidRPr="00C36678" w:rsidTr="00AD614C">
        <w:trPr>
          <w:trHeight w:val="340"/>
        </w:trPr>
        <w:tc>
          <w:tcPr>
            <w:tcW w:w="2411" w:type="dxa"/>
            <w:shd w:val="clear" w:color="auto" w:fill="auto"/>
            <w:vAlign w:val="center"/>
          </w:tcPr>
          <w:p w:rsidR="001C4AD2" w:rsidRPr="00C36678" w:rsidRDefault="001C4AD2"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1C4AD2" w:rsidRPr="00C36678" w:rsidRDefault="001C4AD2" w:rsidP="00162A9B">
            <w:pPr>
              <w:pStyle w:val="Body-Table-TextCentred"/>
              <w:keepNext/>
            </w:pPr>
            <w:r w:rsidRPr="00843077">
              <w:rPr>
                <w:noProof/>
              </w:rPr>
              <w:t>7</w:t>
            </w:r>
          </w:p>
        </w:tc>
        <w:tc>
          <w:tcPr>
            <w:tcW w:w="2411" w:type="dxa"/>
            <w:shd w:val="clear" w:color="auto" w:fill="auto"/>
            <w:vAlign w:val="center"/>
          </w:tcPr>
          <w:p w:rsidR="001C4AD2" w:rsidRPr="00C36678" w:rsidRDefault="001C4AD2" w:rsidP="00162A9B">
            <w:pPr>
              <w:pStyle w:val="Body-Table-TextCentred"/>
              <w:keepNext/>
            </w:pPr>
            <w:r w:rsidRPr="00843077">
              <w:rPr>
                <w:noProof/>
              </w:rPr>
              <w:t>6</w:t>
            </w:r>
          </w:p>
        </w:tc>
        <w:tc>
          <w:tcPr>
            <w:tcW w:w="2412" w:type="dxa"/>
            <w:shd w:val="clear" w:color="auto" w:fill="auto"/>
            <w:vAlign w:val="center"/>
          </w:tcPr>
          <w:p w:rsidR="001C4AD2" w:rsidRPr="00C36678" w:rsidRDefault="001C4AD2" w:rsidP="00214F8D">
            <w:pPr>
              <w:pStyle w:val="Body-Table-TextCentred"/>
              <w:keepNext/>
            </w:pPr>
            <w:r w:rsidRPr="00843077">
              <w:rPr>
                <w:noProof/>
              </w:rPr>
              <w:t>0</w:t>
            </w:r>
          </w:p>
        </w:tc>
      </w:tr>
      <w:tr w:rsidR="001C4AD2"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1C4AD2" w:rsidRPr="00C36678" w:rsidRDefault="001C4AD2" w:rsidP="00162A9B">
            <w:pPr>
              <w:pStyle w:val="Body-Text-Smallspace"/>
              <w:rPr>
                <w:rFonts w:eastAsia="Meiryo"/>
              </w:rPr>
            </w:pPr>
          </w:p>
          <w:p w:rsidR="001C4AD2" w:rsidRPr="00C36678" w:rsidRDefault="001C4AD2" w:rsidP="00162A9B">
            <w:pPr>
              <w:pStyle w:val="Body-Table-Note"/>
              <w:keepNext/>
            </w:pPr>
            <w:r w:rsidRPr="00C36678">
              <w:t>*Teaching staff includes School Leaders.</w:t>
            </w:r>
          </w:p>
          <w:p w:rsidR="001C4AD2" w:rsidRPr="00C36678" w:rsidRDefault="001C4AD2"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1C4AD2" w:rsidRPr="00C36678" w:rsidRDefault="001C4AD2" w:rsidP="00A954D3">
      <w:pPr>
        <w:pStyle w:val="Body-Text-Smallspace"/>
      </w:pPr>
    </w:p>
    <w:p w:rsidR="001C4AD2" w:rsidRPr="00C36678" w:rsidRDefault="001C4AD2" w:rsidP="00BB159F">
      <w:pPr>
        <w:pStyle w:val="Heading3-AR"/>
        <w:rPr>
          <w:lang w:eastAsia="en-US"/>
        </w:rPr>
      </w:pPr>
      <w:r w:rsidRPr="00C36678">
        <w:rPr>
          <w:lang w:eastAsia="en-US"/>
        </w:rPr>
        <w:t>Qualification of all teachers</w:t>
      </w: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122AD4" w:rsidRPr="00122AD4" w:rsidRDefault="00122AD4" w:rsidP="00122AD4">
      <w:pPr>
        <w:keepNext/>
        <w:autoSpaceDE w:val="0"/>
        <w:autoSpaceDN w:val="0"/>
        <w:adjustRightInd w:val="0"/>
        <w:jc w:val="both"/>
        <w:rPr>
          <w:b/>
          <w:bCs w:val="0"/>
          <w:color w:val="000000"/>
          <w:sz w:val="24"/>
        </w:rPr>
      </w:pPr>
      <w:r w:rsidRPr="00122AD4">
        <w:rPr>
          <w:b/>
          <w:bCs w:val="0"/>
          <w:color w:val="000000"/>
          <w:sz w:val="24"/>
        </w:rPr>
        <w:t>Qualification of all teachers</w:t>
      </w:r>
    </w:p>
    <w:p w:rsidR="00122AD4" w:rsidRPr="00122AD4" w:rsidRDefault="00122AD4" w:rsidP="00122AD4">
      <w:pPr>
        <w:keepNext/>
        <w:spacing w:after="0"/>
        <w:rPr>
          <w:rFonts w:eastAsia="Times New Roman"/>
          <w:bCs w:val="0"/>
          <w:sz w:val="10"/>
          <w:szCs w:val="10"/>
          <w:u w:color="FF0000"/>
        </w:rPr>
      </w:pPr>
    </w:p>
    <w:p w:rsidR="00122AD4" w:rsidRPr="00122AD4" w:rsidRDefault="00122AD4" w:rsidP="00122AD4">
      <w:pPr>
        <w:keepNext/>
        <w:spacing w:after="60"/>
        <w:rPr>
          <w:bCs w:val="0"/>
          <w:noProof/>
          <w:color w:val="808080"/>
          <w:sz w:val="18"/>
          <w:szCs w:val="19"/>
          <w:lang w:eastAsia="zh-CN"/>
        </w:rPr>
      </w:pPr>
      <w:r w:rsidRPr="00122AD4">
        <w:rPr>
          <w:bCs w:val="0"/>
          <w:noProof/>
          <w:color w:val="808080"/>
          <w:sz w:val="18"/>
          <w:szCs w:val="19"/>
          <w:lang w:eastAsia="zh-CN"/>
        </w:rPr>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122AD4" w:rsidRPr="00122AD4" w:rsidTr="007304B0">
        <w:trPr>
          <w:trHeight w:val="340"/>
          <w:tblHeader/>
        </w:trPr>
        <w:tc>
          <w:tcPr>
            <w:tcW w:w="2835" w:type="dxa"/>
            <w:shd w:val="clear" w:color="auto" w:fill="C1ECFF"/>
            <w:vAlign w:val="center"/>
          </w:tcPr>
          <w:p w:rsidR="00122AD4" w:rsidRPr="00122AD4" w:rsidRDefault="00122AD4" w:rsidP="00122AD4">
            <w:pPr>
              <w:keepNext/>
              <w:spacing w:before="80" w:after="80"/>
              <w:rPr>
                <w:b/>
                <w:bCs w:val="0"/>
                <w:sz w:val="18"/>
                <w:szCs w:val="18"/>
                <w:lang w:eastAsia="zh-CN"/>
              </w:rPr>
            </w:pPr>
            <w:r w:rsidRPr="00122AD4">
              <w:rPr>
                <w:b/>
                <w:bCs w:val="0"/>
                <w:sz w:val="18"/>
                <w:szCs w:val="18"/>
                <w:lang w:eastAsia="zh-CN"/>
              </w:rPr>
              <w:t>Highest level of qualification</w:t>
            </w:r>
          </w:p>
        </w:tc>
        <w:tc>
          <w:tcPr>
            <w:tcW w:w="2552" w:type="dxa"/>
            <w:shd w:val="clear" w:color="auto" w:fill="C1ECFF"/>
            <w:vAlign w:val="center"/>
          </w:tcPr>
          <w:p w:rsidR="00122AD4" w:rsidRPr="00122AD4" w:rsidRDefault="00122AD4" w:rsidP="00122AD4">
            <w:pPr>
              <w:keepNext/>
              <w:spacing w:before="80" w:after="80"/>
              <w:jc w:val="center"/>
              <w:rPr>
                <w:b/>
                <w:bCs w:val="0"/>
                <w:sz w:val="18"/>
                <w:szCs w:val="18"/>
                <w:lang w:eastAsia="zh-CN"/>
              </w:rPr>
            </w:pPr>
            <w:r w:rsidRPr="00122AD4">
              <w:rPr>
                <w:b/>
                <w:bCs w:val="0"/>
                <w:sz w:val="18"/>
                <w:szCs w:val="18"/>
                <w:lang w:eastAsia="zh-CN"/>
              </w:rPr>
              <w:t>Number of qualifications</w:t>
            </w:r>
          </w:p>
        </w:tc>
        <w:tc>
          <w:tcPr>
            <w:tcW w:w="4272" w:type="dxa"/>
            <w:vMerge w:val="restart"/>
            <w:tcBorders>
              <w:top w:val="nil"/>
              <w:bottom w:val="nil"/>
              <w:right w:val="nil"/>
            </w:tcBorders>
            <w:shd w:val="clear" w:color="auto" w:fill="auto"/>
          </w:tcPr>
          <w:p w:rsidR="00122AD4" w:rsidRPr="00122AD4" w:rsidRDefault="00122AD4" w:rsidP="00122AD4">
            <w:pPr>
              <w:keepNext/>
              <w:spacing w:after="0"/>
              <w:rPr>
                <w:rFonts w:eastAsia="Times New Roman"/>
                <w:bCs w:val="0"/>
                <w:sz w:val="10"/>
                <w:szCs w:val="10"/>
                <w:u w:color="FF0000"/>
              </w:rPr>
            </w:pPr>
          </w:p>
          <w:p w:rsidR="00122AD4" w:rsidRPr="00122AD4" w:rsidRDefault="00122AD4" w:rsidP="00122AD4">
            <w:pPr>
              <w:keepNext/>
              <w:autoSpaceDE w:val="0"/>
              <w:autoSpaceDN w:val="0"/>
              <w:adjustRightInd w:val="0"/>
              <w:rPr>
                <w:rFonts w:eastAsia="Times New Roman"/>
                <w:bCs w:val="0"/>
                <w:sz w:val="16"/>
                <w:szCs w:val="16"/>
              </w:rPr>
            </w:pPr>
            <w:r w:rsidRPr="00122AD4">
              <w:rPr>
                <w:rFonts w:eastAsia="Times New Roman"/>
                <w:bCs w:val="0"/>
                <w:sz w:val="16"/>
                <w:szCs w:val="16"/>
              </w:rPr>
              <w:t>*Graduate Diploma etc. includes Graduate Diploma, Bachelor Honours Degree, and Graduate Certificate.</w:t>
            </w:r>
          </w:p>
        </w:tc>
      </w:tr>
      <w:tr w:rsidR="00122AD4" w:rsidRPr="00122AD4" w:rsidTr="007304B0">
        <w:trPr>
          <w:trHeight w:val="340"/>
        </w:trPr>
        <w:tc>
          <w:tcPr>
            <w:tcW w:w="2835" w:type="dxa"/>
            <w:shd w:val="clear" w:color="auto" w:fill="auto"/>
            <w:vAlign w:val="center"/>
          </w:tcPr>
          <w:p w:rsidR="00122AD4" w:rsidRPr="00122AD4" w:rsidRDefault="00122AD4" w:rsidP="00122AD4">
            <w:pPr>
              <w:keepNext/>
              <w:spacing w:before="60" w:after="60"/>
              <w:rPr>
                <w:bCs w:val="0"/>
                <w:noProof/>
                <w:color w:val="000000"/>
                <w:sz w:val="18"/>
                <w:szCs w:val="18"/>
              </w:rPr>
            </w:pPr>
            <w:r w:rsidRPr="00122AD4">
              <w:rPr>
                <w:bCs w:val="0"/>
                <w:noProof/>
                <w:color w:val="000000"/>
                <w:sz w:val="18"/>
                <w:szCs w:val="18"/>
              </w:rPr>
              <w:t>Doctorate</w:t>
            </w:r>
          </w:p>
        </w:tc>
        <w:tc>
          <w:tcPr>
            <w:tcW w:w="2552" w:type="dxa"/>
            <w:shd w:val="clear" w:color="auto" w:fill="auto"/>
            <w:vAlign w:val="center"/>
          </w:tcPr>
          <w:p w:rsidR="00122AD4" w:rsidRPr="00122AD4" w:rsidRDefault="00122AD4" w:rsidP="00122AD4">
            <w:pPr>
              <w:keepNext/>
              <w:spacing w:before="80" w:after="40"/>
              <w:jc w:val="center"/>
              <w:rPr>
                <w:sz w:val="18"/>
                <w:lang w:eastAsia="zh-CN"/>
              </w:rPr>
            </w:pPr>
            <w:r w:rsidRPr="00122AD4">
              <w:rPr>
                <w:sz w:val="18"/>
                <w:lang w:eastAsia="zh-CN"/>
              </w:rPr>
              <w:t>0</w:t>
            </w:r>
          </w:p>
        </w:tc>
        <w:tc>
          <w:tcPr>
            <w:tcW w:w="4272" w:type="dxa"/>
            <w:vMerge/>
            <w:tcBorders>
              <w:bottom w:val="nil"/>
              <w:right w:val="nil"/>
            </w:tcBorders>
            <w:shd w:val="clear" w:color="auto" w:fill="auto"/>
          </w:tcPr>
          <w:p w:rsidR="00122AD4" w:rsidRPr="00122AD4" w:rsidRDefault="00122AD4" w:rsidP="00122AD4">
            <w:pPr>
              <w:keepNext/>
              <w:spacing w:before="60" w:after="60"/>
              <w:rPr>
                <w:bCs w:val="0"/>
                <w:noProof/>
                <w:color w:val="000000"/>
                <w:sz w:val="18"/>
                <w:szCs w:val="18"/>
              </w:rPr>
            </w:pPr>
          </w:p>
        </w:tc>
      </w:tr>
      <w:tr w:rsidR="00122AD4" w:rsidRPr="00122AD4" w:rsidTr="007304B0">
        <w:trPr>
          <w:trHeight w:val="340"/>
        </w:trPr>
        <w:tc>
          <w:tcPr>
            <w:tcW w:w="2835" w:type="dxa"/>
            <w:shd w:val="clear" w:color="auto" w:fill="auto"/>
            <w:vAlign w:val="center"/>
          </w:tcPr>
          <w:p w:rsidR="00122AD4" w:rsidRPr="00122AD4" w:rsidRDefault="00122AD4" w:rsidP="00122AD4">
            <w:pPr>
              <w:keepNext/>
              <w:spacing w:before="60" w:after="60"/>
              <w:rPr>
                <w:bCs w:val="0"/>
                <w:noProof/>
                <w:color w:val="000000"/>
                <w:sz w:val="18"/>
                <w:szCs w:val="18"/>
              </w:rPr>
            </w:pPr>
            <w:r w:rsidRPr="00122AD4">
              <w:rPr>
                <w:bCs w:val="0"/>
                <w:noProof/>
                <w:color w:val="000000"/>
                <w:sz w:val="18"/>
                <w:szCs w:val="18"/>
              </w:rPr>
              <w:t>Masters</w:t>
            </w:r>
          </w:p>
        </w:tc>
        <w:tc>
          <w:tcPr>
            <w:tcW w:w="2552" w:type="dxa"/>
            <w:shd w:val="clear" w:color="auto" w:fill="auto"/>
            <w:vAlign w:val="center"/>
          </w:tcPr>
          <w:p w:rsidR="00122AD4" w:rsidRPr="00122AD4" w:rsidRDefault="00122AD4" w:rsidP="00122AD4">
            <w:pPr>
              <w:keepNext/>
              <w:spacing w:before="80" w:after="40"/>
              <w:jc w:val="center"/>
              <w:rPr>
                <w:sz w:val="18"/>
                <w:lang w:eastAsia="zh-CN"/>
              </w:rPr>
            </w:pPr>
            <w:r w:rsidRPr="00122AD4">
              <w:rPr>
                <w:sz w:val="18"/>
                <w:lang w:eastAsia="zh-CN"/>
              </w:rPr>
              <w:t>1</w:t>
            </w:r>
          </w:p>
        </w:tc>
        <w:tc>
          <w:tcPr>
            <w:tcW w:w="4272" w:type="dxa"/>
            <w:vMerge/>
            <w:tcBorders>
              <w:bottom w:val="nil"/>
              <w:right w:val="nil"/>
            </w:tcBorders>
            <w:shd w:val="clear" w:color="auto" w:fill="auto"/>
          </w:tcPr>
          <w:p w:rsidR="00122AD4" w:rsidRPr="00122AD4" w:rsidRDefault="00122AD4" w:rsidP="00122AD4">
            <w:pPr>
              <w:keepNext/>
              <w:spacing w:before="60" w:after="60"/>
              <w:rPr>
                <w:bCs w:val="0"/>
                <w:noProof/>
                <w:color w:val="000000"/>
                <w:sz w:val="18"/>
                <w:szCs w:val="18"/>
              </w:rPr>
            </w:pPr>
          </w:p>
        </w:tc>
      </w:tr>
      <w:tr w:rsidR="00122AD4" w:rsidRPr="00122AD4" w:rsidTr="007304B0">
        <w:trPr>
          <w:trHeight w:val="340"/>
        </w:trPr>
        <w:tc>
          <w:tcPr>
            <w:tcW w:w="2835" w:type="dxa"/>
            <w:shd w:val="clear" w:color="auto" w:fill="auto"/>
            <w:vAlign w:val="center"/>
          </w:tcPr>
          <w:p w:rsidR="00122AD4" w:rsidRPr="00122AD4" w:rsidRDefault="00122AD4" w:rsidP="00122AD4">
            <w:pPr>
              <w:keepNext/>
              <w:spacing w:before="60" w:after="60"/>
              <w:rPr>
                <w:bCs w:val="0"/>
                <w:noProof/>
                <w:color w:val="000000"/>
                <w:sz w:val="18"/>
                <w:szCs w:val="18"/>
              </w:rPr>
            </w:pPr>
            <w:r w:rsidRPr="00122AD4">
              <w:rPr>
                <w:bCs w:val="0"/>
                <w:noProof/>
                <w:color w:val="000000"/>
                <w:sz w:val="18"/>
                <w:szCs w:val="18"/>
              </w:rPr>
              <w:t>Graduate Diploma etc.*</w:t>
            </w:r>
          </w:p>
        </w:tc>
        <w:tc>
          <w:tcPr>
            <w:tcW w:w="2552" w:type="dxa"/>
            <w:shd w:val="clear" w:color="auto" w:fill="auto"/>
            <w:vAlign w:val="center"/>
          </w:tcPr>
          <w:p w:rsidR="00122AD4" w:rsidRPr="00122AD4" w:rsidRDefault="00122AD4" w:rsidP="00122AD4">
            <w:pPr>
              <w:keepNext/>
              <w:spacing w:before="80" w:after="40"/>
              <w:jc w:val="center"/>
              <w:rPr>
                <w:sz w:val="18"/>
                <w:lang w:eastAsia="zh-CN"/>
              </w:rPr>
            </w:pPr>
            <w:r w:rsidRPr="00122AD4">
              <w:rPr>
                <w:sz w:val="18"/>
                <w:lang w:eastAsia="zh-CN"/>
              </w:rPr>
              <w:t>1</w:t>
            </w:r>
          </w:p>
        </w:tc>
        <w:tc>
          <w:tcPr>
            <w:tcW w:w="4272" w:type="dxa"/>
            <w:vMerge/>
            <w:tcBorders>
              <w:bottom w:val="nil"/>
              <w:right w:val="nil"/>
            </w:tcBorders>
            <w:shd w:val="clear" w:color="auto" w:fill="auto"/>
          </w:tcPr>
          <w:p w:rsidR="00122AD4" w:rsidRPr="00122AD4" w:rsidRDefault="00122AD4" w:rsidP="00122AD4">
            <w:pPr>
              <w:keepNext/>
              <w:spacing w:before="60" w:after="60"/>
              <w:rPr>
                <w:bCs w:val="0"/>
                <w:noProof/>
                <w:color w:val="000000"/>
                <w:sz w:val="18"/>
                <w:szCs w:val="18"/>
              </w:rPr>
            </w:pPr>
          </w:p>
        </w:tc>
      </w:tr>
      <w:tr w:rsidR="00122AD4" w:rsidRPr="00122AD4" w:rsidTr="007304B0">
        <w:trPr>
          <w:trHeight w:val="340"/>
        </w:trPr>
        <w:tc>
          <w:tcPr>
            <w:tcW w:w="2835" w:type="dxa"/>
            <w:shd w:val="clear" w:color="auto" w:fill="auto"/>
            <w:vAlign w:val="center"/>
          </w:tcPr>
          <w:p w:rsidR="00122AD4" w:rsidRPr="00122AD4" w:rsidRDefault="00122AD4" w:rsidP="00122AD4">
            <w:pPr>
              <w:keepNext/>
              <w:spacing w:before="60" w:after="60"/>
              <w:rPr>
                <w:bCs w:val="0"/>
                <w:noProof/>
                <w:color w:val="000000"/>
                <w:sz w:val="18"/>
                <w:szCs w:val="18"/>
              </w:rPr>
            </w:pPr>
            <w:r w:rsidRPr="00122AD4">
              <w:rPr>
                <w:bCs w:val="0"/>
                <w:noProof/>
                <w:color w:val="000000"/>
                <w:sz w:val="18"/>
                <w:szCs w:val="18"/>
              </w:rPr>
              <w:t>Bachelor degree</w:t>
            </w:r>
          </w:p>
        </w:tc>
        <w:tc>
          <w:tcPr>
            <w:tcW w:w="2552" w:type="dxa"/>
            <w:shd w:val="clear" w:color="auto" w:fill="auto"/>
            <w:vAlign w:val="center"/>
          </w:tcPr>
          <w:p w:rsidR="00122AD4" w:rsidRPr="00122AD4" w:rsidRDefault="00122AD4" w:rsidP="00122AD4">
            <w:pPr>
              <w:keepNext/>
              <w:spacing w:before="80" w:after="40"/>
              <w:jc w:val="center"/>
              <w:rPr>
                <w:sz w:val="18"/>
                <w:lang w:eastAsia="zh-CN"/>
              </w:rPr>
            </w:pPr>
            <w:r w:rsidRPr="00122AD4">
              <w:rPr>
                <w:sz w:val="18"/>
                <w:lang w:eastAsia="zh-CN"/>
              </w:rPr>
              <w:t>14</w:t>
            </w:r>
          </w:p>
        </w:tc>
        <w:tc>
          <w:tcPr>
            <w:tcW w:w="4272" w:type="dxa"/>
            <w:vMerge/>
            <w:tcBorders>
              <w:bottom w:val="nil"/>
              <w:right w:val="nil"/>
            </w:tcBorders>
            <w:shd w:val="clear" w:color="auto" w:fill="auto"/>
          </w:tcPr>
          <w:p w:rsidR="00122AD4" w:rsidRPr="00122AD4" w:rsidRDefault="00122AD4" w:rsidP="00122AD4">
            <w:pPr>
              <w:keepNext/>
              <w:spacing w:before="60" w:after="60"/>
              <w:rPr>
                <w:bCs w:val="0"/>
                <w:noProof/>
                <w:color w:val="000000"/>
                <w:sz w:val="18"/>
                <w:szCs w:val="18"/>
              </w:rPr>
            </w:pPr>
          </w:p>
        </w:tc>
      </w:tr>
      <w:tr w:rsidR="00122AD4" w:rsidRPr="00122AD4" w:rsidTr="007304B0">
        <w:trPr>
          <w:trHeight w:val="340"/>
        </w:trPr>
        <w:tc>
          <w:tcPr>
            <w:tcW w:w="2835" w:type="dxa"/>
            <w:shd w:val="clear" w:color="auto" w:fill="auto"/>
            <w:vAlign w:val="center"/>
          </w:tcPr>
          <w:p w:rsidR="00122AD4" w:rsidRPr="00122AD4" w:rsidRDefault="00122AD4" w:rsidP="00122AD4">
            <w:pPr>
              <w:keepNext/>
              <w:spacing w:before="60" w:after="60"/>
              <w:rPr>
                <w:bCs w:val="0"/>
                <w:noProof/>
                <w:color w:val="000000"/>
                <w:sz w:val="18"/>
                <w:szCs w:val="18"/>
              </w:rPr>
            </w:pPr>
            <w:r w:rsidRPr="00122AD4">
              <w:rPr>
                <w:bCs w:val="0"/>
                <w:noProof/>
                <w:color w:val="000000"/>
                <w:sz w:val="18"/>
                <w:szCs w:val="18"/>
              </w:rPr>
              <w:t>Diploma</w:t>
            </w:r>
          </w:p>
        </w:tc>
        <w:tc>
          <w:tcPr>
            <w:tcW w:w="2552" w:type="dxa"/>
            <w:shd w:val="clear" w:color="auto" w:fill="auto"/>
            <w:vAlign w:val="center"/>
          </w:tcPr>
          <w:p w:rsidR="00122AD4" w:rsidRPr="00122AD4" w:rsidRDefault="00122AD4" w:rsidP="00122AD4">
            <w:pPr>
              <w:keepNext/>
              <w:spacing w:before="80" w:after="40"/>
              <w:jc w:val="center"/>
              <w:rPr>
                <w:sz w:val="18"/>
                <w:lang w:eastAsia="zh-CN"/>
              </w:rPr>
            </w:pPr>
          </w:p>
        </w:tc>
        <w:tc>
          <w:tcPr>
            <w:tcW w:w="4272" w:type="dxa"/>
            <w:vMerge/>
            <w:tcBorders>
              <w:bottom w:val="nil"/>
              <w:right w:val="nil"/>
            </w:tcBorders>
            <w:shd w:val="clear" w:color="auto" w:fill="auto"/>
          </w:tcPr>
          <w:p w:rsidR="00122AD4" w:rsidRPr="00122AD4" w:rsidRDefault="00122AD4" w:rsidP="00122AD4">
            <w:pPr>
              <w:keepNext/>
              <w:spacing w:before="60" w:after="60"/>
              <w:rPr>
                <w:bCs w:val="0"/>
                <w:noProof/>
                <w:color w:val="000000"/>
                <w:sz w:val="18"/>
                <w:szCs w:val="18"/>
              </w:rPr>
            </w:pPr>
          </w:p>
        </w:tc>
      </w:tr>
      <w:tr w:rsidR="00122AD4" w:rsidRPr="00122AD4" w:rsidTr="007304B0">
        <w:trPr>
          <w:trHeight w:val="340"/>
        </w:trPr>
        <w:tc>
          <w:tcPr>
            <w:tcW w:w="2835" w:type="dxa"/>
            <w:tcBorders>
              <w:bottom w:val="single" w:sz="4" w:space="0" w:color="808080"/>
            </w:tcBorders>
            <w:shd w:val="clear" w:color="auto" w:fill="auto"/>
            <w:vAlign w:val="center"/>
          </w:tcPr>
          <w:p w:rsidR="00122AD4" w:rsidRPr="00122AD4" w:rsidRDefault="00122AD4" w:rsidP="00122AD4">
            <w:pPr>
              <w:keepNext/>
              <w:spacing w:before="60" w:after="60"/>
              <w:rPr>
                <w:bCs w:val="0"/>
                <w:noProof/>
                <w:color w:val="000000"/>
                <w:sz w:val="18"/>
                <w:szCs w:val="18"/>
              </w:rPr>
            </w:pPr>
            <w:r w:rsidRPr="00122AD4">
              <w:rPr>
                <w:bCs w:val="0"/>
                <w:noProof/>
                <w:color w:val="000000"/>
                <w:sz w:val="18"/>
                <w:szCs w:val="18"/>
              </w:rPr>
              <w:t>Certificate</w:t>
            </w:r>
          </w:p>
        </w:tc>
        <w:tc>
          <w:tcPr>
            <w:tcW w:w="2552" w:type="dxa"/>
            <w:tcBorders>
              <w:bottom w:val="single" w:sz="4" w:space="0" w:color="808080"/>
            </w:tcBorders>
            <w:shd w:val="clear" w:color="auto" w:fill="auto"/>
            <w:vAlign w:val="center"/>
          </w:tcPr>
          <w:p w:rsidR="00122AD4" w:rsidRPr="00122AD4" w:rsidRDefault="00122AD4" w:rsidP="00122AD4">
            <w:pPr>
              <w:keepNext/>
              <w:spacing w:before="80" w:after="40"/>
              <w:jc w:val="center"/>
              <w:rPr>
                <w:sz w:val="18"/>
                <w:lang w:eastAsia="zh-CN"/>
              </w:rPr>
            </w:pPr>
          </w:p>
        </w:tc>
        <w:tc>
          <w:tcPr>
            <w:tcW w:w="4272" w:type="dxa"/>
            <w:vMerge/>
            <w:tcBorders>
              <w:bottom w:val="nil"/>
              <w:right w:val="nil"/>
            </w:tcBorders>
            <w:shd w:val="clear" w:color="auto" w:fill="auto"/>
          </w:tcPr>
          <w:p w:rsidR="00122AD4" w:rsidRPr="00122AD4" w:rsidRDefault="00122AD4" w:rsidP="00122AD4">
            <w:pPr>
              <w:keepNext/>
              <w:spacing w:before="60" w:after="60"/>
              <w:rPr>
                <w:bCs w:val="0"/>
                <w:noProof/>
                <w:color w:val="000000"/>
                <w:sz w:val="18"/>
                <w:szCs w:val="18"/>
              </w:rPr>
            </w:pPr>
          </w:p>
        </w:tc>
      </w:tr>
    </w:tbl>
    <w:p w:rsidR="00122AD4" w:rsidRPr="00122AD4" w:rsidRDefault="00122AD4" w:rsidP="00122AD4">
      <w:pPr>
        <w:rPr>
          <w:lang w:eastAsia="zh-CN"/>
        </w:rPr>
      </w:pPr>
    </w:p>
    <w:p w:rsidR="001C4AD2" w:rsidRPr="006B3A97" w:rsidRDefault="001C4AD2" w:rsidP="00A972A9">
      <w:pPr>
        <w:pStyle w:val="Body-Text"/>
        <w:rPr>
          <w:lang w:eastAsia="en-US"/>
        </w:rPr>
      </w:pP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1C4AD2" w:rsidRDefault="001C4AD2" w:rsidP="00A972A9">
      <w:pPr>
        <w:pStyle w:val="Body-Text-Smallspace"/>
      </w:pPr>
    </w:p>
    <w:p w:rsidR="001C4AD2" w:rsidRDefault="001C4AD2" w:rsidP="00A972A9">
      <w:pPr>
        <w:pStyle w:val="ListParagraph"/>
        <w:numPr>
          <w:ilvl w:val="0"/>
          <w:numId w:val="13"/>
        </w:numPr>
        <w:spacing w:after="0"/>
        <w:contextualSpacing w:val="0"/>
        <w:rPr>
          <w:color w:val="1F497D"/>
          <w:lang w:val="en-US"/>
        </w:rPr>
      </w:pPr>
      <w:hyperlink r:id="rId32" w:history="1">
        <w:r>
          <w:rPr>
            <w:rStyle w:val="Hyperlink"/>
            <w:lang w:val="en-US"/>
          </w:rPr>
          <w:t>https://cdn.qct.edu.au/pdf/Policy_Teacher_registration_eligibility_requirements</w:t>
        </w:r>
      </w:hyperlink>
    </w:p>
    <w:p w:rsidR="001C4AD2" w:rsidRDefault="001C4AD2" w:rsidP="00A972A9">
      <w:pPr>
        <w:pStyle w:val="ListParagraph"/>
        <w:numPr>
          <w:ilvl w:val="0"/>
          <w:numId w:val="13"/>
        </w:numPr>
        <w:spacing w:after="0"/>
        <w:contextualSpacing w:val="0"/>
        <w:rPr>
          <w:color w:val="1F497D"/>
          <w:szCs w:val="19"/>
          <w:lang w:val="en-US"/>
        </w:rPr>
      </w:pPr>
      <w:hyperlink r:id="rId33" w:history="1">
        <w:r>
          <w:rPr>
            <w:rStyle w:val="Hyperlink"/>
            <w:lang w:val="en-US"/>
          </w:rPr>
          <w:t>https://www.qct.edu.au/registration/qualifications</w:t>
        </w:r>
      </w:hyperlink>
    </w:p>
    <w:p w:rsidR="001C4AD2" w:rsidRPr="00C36678" w:rsidRDefault="001C4AD2" w:rsidP="00A954D3">
      <w:pPr>
        <w:pStyle w:val="Body-Text"/>
      </w:pPr>
    </w:p>
    <w:p w:rsidR="001C4AD2" w:rsidRPr="00C36678" w:rsidRDefault="001C4AD2" w:rsidP="00A954D3">
      <w:pPr>
        <w:pStyle w:val="Body-Text-Smallspace"/>
      </w:pPr>
    </w:p>
    <w:p w:rsidR="001C4AD2" w:rsidRPr="00C36678" w:rsidRDefault="001C4AD2" w:rsidP="00582ECE">
      <w:pPr>
        <w:pStyle w:val="Heading2-AR"/>
      </w:pPr>
      <w:r w:rsidRPr="00C36678">
        <w:t>Professional development</w:t>
      </w:r>
    </w:p>
    <w:p w:rsidR="001C4AD2" w:rsidRPr="00C36678" w:rsidRDefault="001C4AD2" w:rsidP="00A954D3">
      <w:pPr>
        <w:pStyle w:val="Body-Text-Smallspace"/>
      </w:pPr>
    </w:p>
    <w:p w:rsidR="001C4AD2" w:rsidRPr="00C36678" w:rsidRDefault="001C4AD2" w:rsidP="00582ECE">
      <w:pPr>
        <w:pStyle w:val="Heading3-AR"/>
        <w:rPr>
          <w:lang w:eastAsia="en-US"/>
        </w:rPr>
      </w:pPr>
      <w:r>
        <w:rPr>
          <w:lang w:eastAsia="en-US"/>
        </w:rPr>
        <w:t>T</w:t>
      </w:r>
      <w:r w:rsidRPr="00C36678">
        <w:rPr>
          <w:lang w:eastAsia="en-US"/>
        </w:rPr>
        <w:t>eacher participation in professional development</w:t>
      </w:r>
    </w:p>
    <w:p w:rsidR="001C4AD2" w:rsidRPr="006B3A97" w:rsidRDefault="001C4AD2"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1C4AD2" w:rsidRPr="006B3A97" w:rsidRDefault="001C4AD2"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1C4AD2" w:rsidRPr="006B3A97" w:rsidRDefault="001C4AD2"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1C4AD2" w:rsidRPr="006B3A97" w:rsidRDefault="001C4AD2"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1C4AD2" w:rsidRPr="00A972A9" w:rsidRDefault="001C4AD2" w:rsidP="00CA4127">
      <w:pPr>
        <w:pStyle w:val="Body-Text"/>
        <w:rPr>
          <w:lang w:eastAsia="en-US"/>
        </w:rPr>
      </w:pPr>
    </w:p>
    <w:p w:rsidR="001C4AD2" w:rsidRPr="00C36678" w:rsidRDefault="001C4AD2" w:rsidP="00A954D3">
      <w:pPr>
        <w:pStyle w:val="Body-Text-Smallspace"/>
      </w:pPr>
    </w:p>
    <w:p w:rsidR="001C4AD2" w:rsidRPr="00C36678" w:rsidRDefault="001C4AD2" w:rsidP="001F0A6C">
      <w:pPr>
        <w:pStyle w:val="Heading2-AR"/>
      </w:pPr>
      <w:r w:rsidRPr="00C36678">
        <w:t>Staff attendance and retention</w:t>
      </w:r>
    </w:p>
    <w:p w:rsidR="001C4AD2" w:rsidRPr="00C36678" w:rsidRDefault="001C4AD2" w:rsidP="00A954D3">
      <w:pPr>
        <w:pStyle w:val="Body-Text-Smallspace"/>
      </w:pPr>
    </w:p>
    <w:p w:rsidR="001C4AD2" w:rsidRPr="00C36678" w:rsidRDefault="001C4AD2" w:rsidP="001F0A6C">
      <w:pPr>
        <w:pStyle w:val="Heading3-AR"/>
      </w:pPr>
      <w:r w:rsidRPr="00C36678">
        <w:t>Staff attendance</w:t>
      </w:r>
    </w:p>
    <w:p w:rsidR="001C4AD2" w:rsidRPr="00C36678" w:rsidRDefault="001C4AD2" w:rsidP="00086DE0">
      <w:pPr>
        <w:pStyle w:val="Body-Text-Smallspace"/>
      </w:pPr>
    </w:p>
    <w:p w:rsidR="001C4AD2" w:rsidRPr="00C36678" w:rsidRDefault="001C4AD2"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1C4AD2" w:rsidRPr="00C36678" w:rsidTr="00AD614C">
        <w:trPr>
          <w:trHeight w:val="340"/>
          <w:tblHeader/>
        </w:trPr>
        <w:tc>
          <w:tcPr>
            <w:tcW w:w="6523" w:type="dxa"/>
            <w:shd w:val="clear" w:color="auto" w:fill="C1ECFF"/>
            <w:vAlign w:val="center"/>
          </w:tcPr>
          <w:p w:rsidR="001C4AD2" w:rsidRPr="00C36678" w:rsidRDefault="001C4AD2"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1C4AD2" w:rsidRPr="00C36678" w:rsidRDefault="001C4AD2" w:rsidP="00503CB9">
            <w:pPr>
              <w:pStyle w:val="Body-Table-HeadingCentred"/>
              <w:keepNext/>
            </w:pPr>
            <w:r>
              <w:t>2017</w:t>
            </w:r>
          </w:p>
        </w:tc>
        <w:tc>
          <w:tcPr>
            <w:tcW w:w="1041" w:type="dxa"/>
            <w:shd w:val="clear" w:color="auto" w:fill="C1ECFF"/>
            <w:vAlign w:val="center"/>
          </w:tcPr>
          <w:p w:rsidR="001C4AD2" w:rsidRPr="00C36678" w:rsidRDefault="001C4AD2" w:rsidP="00503CB9">
            <w:pPr>
              <w:pStyle w:val="Body-Table-HeadingCentred"/>
              <w:keepNext/>
            </w:pPr>
            <w:r w:rsidRPr="00C36678">
              <w:t>201</w:t>
            </w:r>
            <w:r>
              <w:t>8</w:t>
            </w:r>
          </w:p>
        </w:tc>
        <w:tc>
          <w:tcPr>
            <w:tcW w:w="1041" w:type="dxa"/>
            <w:shd w:val="clear" w:color="auto" w:fill="C1ECFF"/>
            <w:vAlign w:val="center"/>
          </w:tcPr>
          <w:p w:rsidR="001C4AD2" w:rsidRPr="00C36678" w:rsidRDefault="001C4AD2" w:rsidP="00503CB9">
            <w:pPr>
              <w:pStyle w:val="Body-Table-HeadingCentred"/>
              <w:keepNext/>
            </w:pPr>
            <w:r w:rsidRPr="00C36678">
              <w:t>201</w:t>
            </w:r>
            <w:r>
              <w:t>9</w:t>
            </w:r>
          </w:p>
        </w:tc>
      </w:tr>
      <w:tr w:rsidR="001C4AD2" w:rsidRPr="00C36678" w:rsidTr="00AD614C">
        <w:trPr>
          <w:trHeight w:val="340"/>
        </w:trPr>
        <w:tc>
          <w:tcPr>
            <w:tcW w:w="6523" w:type="dxa"/>
            <w:shd w:val="clear" w:color="auto" w:fill="auto"/>
            <w:vAlign w:val="center"/>
          </w:tcPr>
          <w:p w:rsidR="001C4AD2" w:rsidRPr="00C36678" w:rsidRDefault="001C4AD2"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1C4AD2" w:rsidRPr="00C36678" w:rsidRDefault="001C4AD2" w:rsidP="00162A9B">
            <w:pPr>
              <w:pStyle w:val="Body-Table-TextCentred"/>
              <w:keepNext/>
            </w:pPr>
            <w:r w:rsidRPr="00843077">
              <w:rPr>
                <w:noProof/>
              </w:rPr>
              <w:t>96%</w:t>
            </w:r>
          </w:p>
        </w:tc>
        <w:tc>
          <w:tcPr>
            <w:tcW w:w="1041" w:type="dxa"/>
            <w:shd w:val="clear" w:color="auto" w:fill="auto"/>
            <w:vAlign w:val="center"/>
          </w:tcPr>
          <w:p w:rsidR="001C4AD2" w:rsidRPr="00C36678" w:rsidRDefault="001C4AD2" w:rsidP="00162A9B">
            <w:pPr>
              <w:pStyle w:val="Body-Table-TextCentred"/>
              <w:keepNext/>
            </w:pPr>
            <w:r w:rsidRPr="00843077">
              <w:rPr>
                <w:noProof/>
              </w:rPr>
              <w:t>97%</w:t>
            </w:r>
          </w:p>
        </w:tc>
        <w:tc>
          <w:tcPr>
            <w:tcW w:w="1041" w:type="dxa"/>
            <w:shd w:val="clear" w:color="auto" w:fill="auto"/>
            <w:vAlign w:val="center"/>
          </w:tcPr>
          <w:p w:rsidR="001C4AD2" w:rsidRPr="00C36678" w:rsidRDefault="001C4AD2" w:rsidP="00214F8D">
            <w:pPr>
              <w:pStyle w:val="Body-Table-TextCentred"/>
              <w:keepNext/>
            </w:pPr>
            <w:r w:rsidRPr="00843077">
              <w:rPr>
                <w:noProof/>
              </w:rPr>
              <w:t>96%</w:t>
            </w:r>
          </w:p>
        </w:tc>
      </w:tr>
    </w:tbl>
    <w:p w:rsidR="001C4AD2" w:rsidRPr="00C36678" w:rsidRDefault="001C4AD2" w:rsidP="00CA4127">
      <w:pPr>
        <w:pStyle w:val="Body-Text"/>
      </w:pPr>
    </w:p>
    <w:p w:rsidR="001C4AD2" w:rsidRPr="00C36678" w:rsidRDefault="001C4AD2" w:rsidP="00A954D3">
      <w:pPr>
        <w:pStyle w:val="Body-Text-Smallspace"/>
      </w:pPr>
    </w:p>
    <w:p w:rsidR="001C4AD2" w:rsidRPr="00C36678" w:rsidRDefault="001C4AD2" w:rsidP="001F0A6C">
      <w:pPr>
        <w:pStyle w:val="Heading3-AR"/>
      </w:pPr>
      <w:r w:rsidRPr="00C36678">
        <w:t>Proportion of staff retained from the previous school year</w:t>
      </w:r>
    </w:p>
    <w:p w:rsidR="001C4AD2" w:rsidRPr="00C36678" w:rsidRDefault="001C4AD2" w:rsidP="00CA4127">
      <w:pPr>
        <w:pStyle w:val="Body-Text"/>
        <w:rPr>
          <w:shd w:val="clear" w:color="auto" w:fill="D9D9D9"/>
        </w:rPr>
      </w:pPr>
      <w:r w:rsidRPr="00C36678">
        <w:t>From the end of the previous school year,</w:t>
      </w:r>
      <w:r>
        <w:t xml:space="preserve"> </w:t>
      </w:r>
      <w:r>
        <w:rPr>
          <w:noProof/>
        </w:rPr>
        <w:t>100%</w:t>
      </w:r>
      <w:r w:rsidRPr="00C36678">
        <w:t xml:space="preserve"> of staff were retained by the school for the entire </w:t>
      </w:r>
      <w:r>
        <w:t>2019</w:t>
      </w:r>
      <w:r w:rsidRPr="00C36678">
        <w:t>.</w:t>
      </w:r>
    </w:p>
    <w:p w:rsidR="001C4AD2" w:rsidRPr="00A972A9" w:rsidRDefault="001C4AD2" w:rsidP="001F0A6C">
      <w:pPr>
        <w:pStyle w:val="Body-Instructions-Text"/>
        <w:rPr>
          <w:color w:val="auto"/>
          <w:lang w:eastAsia="en-US"/>
        </w:rPr>
      </w:pPr>
    </w:p>
    <w:p w:rsidR="001C4AD2" w:rsidRPr="00C36678" w:rsidRDefault="001C4AD2"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1C4AD2" w:rsidRPr="00C36678" w:rsidTr="00AD614C">
        <w:tc>
          <w:tcPr>
            <w:tcW w:w="5000" w:type="pct"/>
            <w:shd w:val="clear" w:color="auto" w:fill="003D69"/>
          </w:tcPr>
          <w:p w:rsidR="001C4AD2" w:rsidRPr="00C36678" w:rsidRDefault="001C4AD2" w:rsidP="00907B51">
            <w:pPr>
              <w:pStyle w:val="Heading1-AR"/>
            </w:pPr>
            <w:r w:rsidRPr="00C36678">
              <w:t>Performance of our students</w:t>
            </w:r>
          </w:p>
        </w:tc>
      </w:tr>
      <w:tr w:rsidR="001C4AD2" w:rsidRPr="00C36678" w:rsidTr="00AD614C">
        <w:trPr>
          <w:trHeight w:val="371"/>
        </w:trPr>
        <w:tc>
          <w:tcPr>
            <w:tcW w:w="5000" w:type="pct"/>
            <w:shd w:val="clear" w:color="auto" w:fill="DDDDDD"/>
          </w:tcPr>
          <w:p w:rsidR="001C4AD2" w:rsidRPr="00C36678" w:rsidRDefault="001C4AD2" w:rsidP="0063618A">
            <w:pPr>
              <w:pStyle w:val="Heading12-AR"/>
            </w:pPr>
          </w:p>
        </w:tc>
      </w:tr>
    </w:tbl>
    <w:p w:rsidR="001C4AD2" w:rsidRPr="00C36678" w:rsidRDefault="001C4AD2" w:rsidP="00371E3A">
      <w:pPr>
        <w:pStyle w:val="Body-Text"/>
      </w:pPr>
    </w:p>
    <w:p w:rsidR="001C4AD2" w:rsidRPr="00C36678" w:rsidRDefault="001C4AD2" w:rsidP="00A954D3">
      <w:pPr>
        <w:pStyle w:val="Body-Text-Smallspace"/>
      </w:pPr>
    </w:p>
    <w:p w:rsidR="001C4AD2" w:rsidRPr="00C36678" w:rsidRDefault="001C4AD2" w:rsidP="0087196C">
      <w:pPr>
        <w:pStyle w:val="Heading2-AR"/>
      </w:pPr>
      <w:r w:rsidRPr="00C36678">
        <w:t>Key student outcomes</w:t>
      </w:r>
    </w:p>
    <w:p w:rsidR="001C4AD2" w:rsidRPr="00C36678" w:rsidRDefault="001C4AD2" w:rsidP="00A954D3">
      <w:pPr>
        <w:pStyle w:val="Body-Text-Smallspace"/>
      </w:pPr>
    </w:p>
    <w:p w:rsidR="001C4AD2" w:rsidRPr="00C36678" w:rsidRDefault="001C4AD2" w:rsidP="0087196C">
      <w:pPr>
        <w:pStyle w:val="Heading3-AR"/>
      </w:pPr>
      <w:r w:rsidRPr="00C36678">
        <w:t>Student attendance</w:t>
      </w:r>
    </w:p>
    <w:p w:rsidR="001C4AD2" w:rsidRPr="00C36678" w:rsidRDefault="001C4AD2"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1C4AD2" w:rsidRPr="00C36678" w:rsidRDefault="001C4AD2" w:rsidP="00B545B7">
      <w:pPr>
        <w:pStyle w:val="Body-Text"/>
      </w:pPr>
      <w:r w:rsidRPr="00C36678">
        <w:t>Tables 11–12 show attendance rates at this school as percentages.</w:t>
      </w:r>
    </w:p>
    <w:p w:rsidR="001C4AD2" w:rsidRPr="00C36678" w:rsidRDefault="001C4AD2" w:rsidP="00086DE0">
      <w:pPr>
        <w:pStyle w:val="Body-Text-Smallspace"/>
      </w:pPr>
    </w:p>
    <w:p w:rsidR="001C4AD2" w:rsidRPr="00C36678" w:rsidRDefault="001C4AD2"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1C4AD2" w:rsidRPr="00C36678" w:rsidTr="00AD614C">
        <w:trPr>
          <w:trHeight w:val="340"/>
        </w:trPr>
        <w:tc>
          <w:tcPr>
            <w:tcW w:w="3377" w:type="pct"/>
            <w:shd w:val="clear" w:color="auto" w:fill="C1ECFF"/>
            <w:vAlign w:val="center"/>
          </w:tcPr>
          <w:p w:rsidR="001C4AD2" w:rsidRPr="00C36678" w:rsidRDefault="001C4AD2"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1C4AD2" w:rsidRPr="00C36678" w:rsidRDefault="001C4AD2" w:rsidP="00503CB9">
            <w:pPr>
              <w:pStyle w:val="Body-Table-HeadingCentred"/>
              <w:keepNext/>
            </w:pPr>
            <w:r>
              <w:t>2017</w:t>
            </w:r>
          </w:p>
        </w:tc>
        <w:tc>
          <w:tcPr>
            <w:tcW w:w="541" w:type="pct"/>
            <w:shd w:val="clear" w:color="auto" w:fill="C1ECFF"/>
            <w:vAlign w:val="center"/>
          </w:tcPr>
          <w:p w:rsidR="001C4AD2" w:rsidRPr="00C36678" w:rsidRDefault="001C4AD2" w:rsidP="00503CB9">
            <w:pPr>
              <w:pStyle w:val="Body-Table-HeadingCentred"/>
              <w:keepNext/>
            </w:pPr>
            <w:r w:rsidRPr="00C36678">
              <w:t>201</w:t>
            </w:r>
            <w:r>
              <w:t>8</w:t>
            </w:r>
          </w:p>
        </w:tc>
        <w:tc>
          <w:tcPr>
            <w:tcW w:w="541" w:type="pct"/>
            <w:shd w:val="clear" w:color="auto" w:fill="C1ECFF"/>
            <w:vAlign w:val="center"/>
          </w:tcPr>
          <w:p w:rsidR="001C4AD2" w:rsidRPr="00C36678" w:rsidRDefault="001C4AD2" w:rsidP="00503CB9">
            <w:pPr>
              <w:pStyle w:val="Body-Table-HeadingCentred"/>
              <w:keepNext/>
            </w:pPr>
            <w:r w:rsidRPr="00C36678">
              <w:t>201</w:t>
            </w:r>
            <w:r>
              <w:t>9</w:t>
            </w:r>
          </w:p>
        </w:tc>
      </w:tr>
      <w:tr w:rsidR="001C4AD2" w:rsidRPr="00C36678" w:rsidTr="00AD614C">
        <w:trPr>
          <w:trHeight w:val="340"/>
        </w:trPr>
        <w:tc>
          <w:tcPr>
            <w:tcW w:w="3377" w:type="pct"/>
            <w:shd w:val="clear" w:color="auto" w:fill="auto"/>
            <w:vAlign w:val="center"/>
          </w:tcPr>
          <w:p w:rsidR="001C4AD2" w:rsidRPr="00C36678" w:rsidRDefault="001C4AD2"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1C4AD2" w:rsidRPr="00C36678" w:rsidRDefault="001C4AD2" w:rsidP="00162A9B">
            <w:pPr>
              <w:pStyle w:val="Body-Table-TextCentred"/>
              <w:keepNext/>
              <w:rPr>
                <w:u w:color="FF0000"/>
              </w:rPr>
            </w:pPr>
            <w:r w:rsidRPr="00843077">
              <w:rPr>
                <w:noProof/>
                <w:u w:color="FF0000"/>
              </w:rPr>
              <w:t>92%</w:t>
            </w:r>
          </w:p>
        </w:tc>
        <w:tc>
          <w:tcPr>
            <w:tcW w:w="541" w:type="pct"/>
            <w:shd w:val="clear" w:color="auto" w:fill="auto"/>
            <w:vAlign w:val="center"/>
          </w:tcPr>
          <w:p w:rsidR="001C4AD2" w:rsidRPr="00C36678" w:rsidRDefault="001C4AD2" w:rsidP="00162A9B">
            <w:pPr>
              <w:pStyle w:val="Body-Table-TextCentred"/>
              <w:keepNext/>
              <w:rPr>
                <w:u w:color="FF0000"/>
              </w:rPr>
            </w:pPr>
            <w:r w:rsidRPr="00843077">
              <w:rPr>
                <w:noProof/>
                <w:u w:color="FF0000"/>
              </w:rPr>
              <w:t>92%</w:t>
            </w:r>
          </w:p>
        </w:tc>
        <w:tc>
          <w:tcPr>
            <w:tcW w:w="541" w:type="pct"/>
            <w:shd w:val="clear" w:color="auto" w:fill="auto"/>
            <w:vAlign w:val="center"/>
          </w:tcPr>
          <w:p w:rsidR="001C4AD2" w:rsidRPr="00C36678" w:rsidRDefault="001C4AD2" w:rsidP="00F26F76">
            <w:pPr>
              <w:pStyle w:val="Body-Table-TextCentred"/>
              <w:keepNext/>
              <w:rPr>
                <w:u w:color="FF0000"/>
              </w:rPr>
            </w:pPr>
            <w:r w:rsidRPr="00843077">
              <w:rPr>
                <w:noProof/>
                <w:u w:color="FF0000"/>
              </w:rPr>
              <w:t>90%</w:t>
            </w:r>
          </w:p>
        </w:tc>
      </w:tr>
      <w:tr w:rsidR="001C4AD2" w:rsidRPr="00C36678" w:rsidTr="00AD614C">
        <w:trPr>
          <w:trHeight w:val="340"/>
        </w:trPr>
        <w:tc>
          <w:tcPr>
            <w:tcW w:w="3377" w:type="pct"/>
            <w:tcBorders>
              <w:bottom w:val="single" w:sz="4" w:space="0" w:color="808080"/>
            </w:tcBorders>
            <w:shd w:val="clear" w:color="auto" w:fill="auto"/>
            <w:vAlign w:val="center"/>
          </w:tcPr>
          <w:p w:rsidR="001C4AD2" w:rsidRPr="00C36678" w:rsidRDefault="001C4AD2"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91%</w:t>
            </w:r>
          </w:p>
        </w:tc>
        <w:tc>
          <w:tcPr>
            <w:tcW w:w="541" w:type="pct"/>
            <w:tcBorders>
              <w:bottom w:val="single" w:sz="4" w:space="0" w:color="808080"/>
            </w:tcBorders>
            <w:shd w:val="clear" w:color="auto" w:fill="auto"/>
            <w:vAlign w:val="center"/>
          </w:tcPr>
          <w:p w:rsidR="001C4AD2" w:rsidRPr="00C36678" w:rsidRDefault="001C4AD2" w:rsidP="00162A9B">
            <w:pPr>
              <w:pStyle w:val="Body-Table-TextCentred"/>
              <w:keepNext/>
              <w:rPr>
                <w:u w:color="FF0000"/>
              </w:rPr>
            </w:pPr>
            <w:r w:rsidRPr="00843077">
              <w:rPr>
                <w:noProof/>
                <w:u w:color="FF0000"/>
              </w:rPr>
              <w:t>94%</w:t>
            </w:r>
          </w:p>
        </w:tc>
        <w:tc>
          <w:tcPr>
            <w:tcW w:w="541" w:type="pct"/>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87%</w:t>
            </w:r>
          </w:p>
        </w:tc>
      </w:tr>
      <w:tr w:rsidR="001C4AD2" w:rsidRPr="00C36678" w:rsidTr="00AD614C">
        <w:trPr>
          <w:trHeight w:val="340"/>
        </w:trPr>
        <w:tc>
          <w:tcPr>
            <w:tcW w:w="5000" w:type="pct"/>
            <w:gridSpan w:val="4"/>
            <w:tcBorders>
              <w:left w:val="nil"/>
              <w:bottom w:val="nil"/>
              <w:right w:val="nil"/>
            </w:tcBorders>
            <w:shd w:val="clear" w:color="auto" w:fill="auto"/>
            <w:vAlign w:val="center"/>
          </w:tcPr>
          <w:p w:rsidR="001C4AD2" w:rsidRPr="00C36678" w:rsidRDefault="001C4AD2" w:rsidP="00162A9B">
            <w:pPr>
              <w:pStyle w:val="Body-Text-Smallspace"/>
              <w:rPr>
                <w:rFonts w:eastAsia="Meiryo"/>
              </w:rPr>
            </w:pPr>
          </w:p>
          <w:p w:rsidR="001C4AD2" w:rsidRPr="00C36678" w:rsidRDefault="001C4AD2"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1C4AD2" w:rsidRPr="00C36678" w:rsidRDefault="001C4AD2"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1C4AD2" w:rsidRPr="00C36678" w:rsidRDefault="001C4AD2" w:rsidP="00086DE0">
      <w:pPr>
        <w:pStyle w:val="Body-Text-Smallspace"/>
        <w:keepNext w:val="0"/>
      </w:pPr>
    </w:p>
    <w:p w:rsidR="001C4AD2" w:rsidRPr="00C36678" w:rsidRDefault="001C4AD2" w:rsidP="00086DE0">
      <w:pPr>
        <w:pStyle w:val="Body-Text-Smallspace"/>
      </w:pPr>
    </w:p>
    <w:p w:rsidR="001C4AD2" w:rsidRPr="00C36678" w:rsidRDefault="001C4AD2"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1C4AD2" w:rsidRPr="00C36678" w:rsidTr="00783082">
        <w:trPr>
          <w:trHeight w:val="340"/>
          <w:tblHeader/>
        </w:trPr>
        <w:tc>
          <w:tcPr>
            <w:tcW w:w="1098" w:type="dxa"/>
            <w:tcBorders>
              <w:bottom w:val="single" w:sz="4" w:space="0" w:color="808080"/>
            </w:tcBorders>
            <w:shd w:val="clear" w:color="auto" w:fill="C1ECFF"/>
            <w:vAlign w:val="center"/>
          </w:tcPr>
          <w:p w:rsidR="001C4AD2" w:rsidRPr="00C36678" w:rsidRDefault="001C4AD2"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1C4AD2" w:rsidRPr="00C36678" w:rsidRDefault="001C4AD2" w:rsidP="00503CB9">
            <w:pPr>
              <w:pStyle w:val="Body-Table-HeadingCentred"/>
              <w:keepNext/>
            </w:pPr>
            <w:r>
              <w:t>2017</w:t>
            </w:r>
          </w:p>
        </w:tc>
        <w:tc>
          <w:tcPr>
            <w:tcW w:w="717" w:type="dxa"/>
            <w:shd w:val="clear" w:color="auto" w:fill="C1ECFF"/>
            <w:vAlign w:val="center"/>
          </w:tcPr>
          <w:p w:rsidR="001C4AD2" w:rsidRPr="00C36678" w:rsidRDefault="001C4AD2" w:rsidP="00503CB9">
            <w:pPr>
              <w:pStyle w:val="Body-Table-HeadingCentred"/>
              <w:keepNext/>
            </w:pPr>
            <w:r w:rsidRPr="00C36678">
              <w:t>201</w:t>
            </w:r>
            <w:r>
              <w:t>8</w:t>
            </w:r>
          </w:p>
        </w:tc>
        <w:tc>
          <w:tcPr>
            <w:tcW w:w="716" w:type="dxa"/>
            <w:shd w:val="clear" w:color="auto" w:fill="C1ECFF"/>
            <w:vAlign w:val="center"/>
          </w:tcPr>
          <w:p w:rsidR="001C4AD2" w:rsidRPr="00C36678" w:rsidRDefault="001C4AD2" w:rsidP="00503CB9">
            <w:pPr>
              <w:pStyle w:val="Body-Table-HeadingCentred"/>
              <w:keepNext/>
            </w:pPr>
            <w:r w:rsidRPr="00C36678">
              <w:t>201</w:t>
            </w:r>
            <w:r>
              <w:t>9</w:t>
            </w:r>
          </w:p>
        </w:tc>
        <w:tc>
          <w:tcPr>
            <w:tcW w:w="282" w:type="dxa"/>
            <w:tcBorders>
              <w:top w:val="nil"/>
              <w:bottom w:val="nil"/>
            </w:tcBorders>
            <w:shd w:val="clear" w:color="auto" w:fill="auto"/>
          </w:tcPr>
          <w:p w:rsidR="001C4AD2" w:rsidRPr="00C36678" w:rsidRDefault="001C4AD2" w:rsidP="00503CB9">
            <w:pPr>
              <w:pStyle w:val="Body-Table-Heading"/>
              <w:keepNext/>
              <w:rPr>
                <w:u w:color="FF0000"/>
                <w:lang w:eastAsia="en-US"/>
              </w:rPr>
            </w:pPr>
          </w:p>
        </w:tc>
        <w:tc>
          <w:tcPr>
            <w:tcW w:w="1097" w:type="dxa"/>
            <w:shd w:val="clear" w:color="auto" w:fill="C1ECFF"/>
          </w:tcPr>
          <w:p w:rsidR="001C4AD2" w:rsidRPr="00C36678" w:rsidRDefault="001C4AD2"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1C4AD2" w:rsidRPr="00C36678" w:rsidRDefault="001C4AD2" w:rsidP="00503CB9">
            <w:pPr>
              <w:pStyle w:val="Body-Table-HeadingCentred"/>
              <w:keepNext/>
            </w:pPr>
            <w:r>
              <w:t>2017</w:t>
            </w:r>
          </w:p>
        </w:tc>
        <w:tc>
          <w:tcPr>
            <w:tcW w:w="716" w:type="dxa"/>
            <w:shd w:val="clear" w:color="auto" w:fill="C1ECFF"/>
            <w:vAlign w:val="center"/>
          </w:tcPr>
          <w:p w:rsidR="001C4AD2" w:rsidRPr="00C36678" w:rsidRDefault="001C4AD2" w:rsidP="00503CB9">
            <w:pPr>
              <w:pStyle w:val="Body-Table-HeadingCentred"/>
              <w:keepNext/>
            </w:pPr>
            <w:r w:rsidRPr="00C36678">
              <w:t>201</w:t>
            </w:r>
            <w:r>
              <w:t>8</w:t>
            </w:r>
          </w:p>
        </w:tc>
        <w:tc>
          <w:tcPr>
            <w:tcW w:w="716" w:type="dxa"/>
            <w:shd w:val="clear" w:color="auto" w:fill="C1ECFF"/>
            <w:vAlign w:val="center"/>
          </w:tcPr>
          <w:p w:rsidR="001C4AD2" w:rsidRPr="00C36678" w:rsidRDefault="001C4AD2"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1C4AD2" w:rsidRPr="00C36678" w:rsidRDefault="001C4AD2" w:rsidP="00503CB9">
            <w:pPr>
              <w:pStyle w:val="Body-Text-Smallspace"/>
            </w:pPr>
          </w:p>
          <w:p w:rsidR="001C4AD2" w:rsidRPr="00C36678" w:rsidRDefault="001C4AD2" w:rsidP="00503CB9">
            <w:pPr>
              <w:pStyle w:val="Body-Table-Note"/>
              <w:keepNext/>
              <w:spacing w:after="60"/>
            </w:pPr>
            <w:r w:rsidRPr="00C36678">
              <w:t>Notes:</w:t>
            </w:r>
          </w:p>
          <w:p w:rsidR="001C4AD2" w:rsidRPr="00C36678" w:rsidRDefault="001C4AD2"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1C4AD2" w:rsidRPr="00C36678" w:rsidRDefault="001C4AD2"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1C4AD2" w:rsidRPr="00C36678" w:rsidRDefault="001C4AD2" w:rsidP="00503CB9">
            <w:pPr>
              <w:pStyle w:val="Body-Table-Note"/>
              <w:keepNext/>
              <w:tabs>
                <w:tab w:val="left" w:pos="228"/>
              </w:tabs>
              <w:ind w:left="256" w:hanging="256"/>
            </w:pPr>
            <w:r w:rsidRPr="00C36678">
              <w:t>3.</w:t>
            </w:r>
            <w:r w:rsidRPr="00C36678">
              <w:tab/>
              <w:t>DW = Data withheld to ensure confidentiality.</w:t>
            </w:r>
          </w:p>
        </w:tc>
      </w:tr>
      <w:tr w:rsidR="001C4AD2" w:rsidRPr="00C36678" w:rsidTr="00AD614C">
        <w:trPr>
          <w:trHeight w:val="340"/>
        </w:trPr>
        <w:tc>
          <w:tcPr>
            <w:tcW w:w="1098" w:type="dxa"/>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1C4AD2" w:rsidRPr="00C36678" w:rsidRDefault="001C4AD2" w:rsidP="00162A9B">
            <w:pPr>
              <w:pStyle w:val="Body-Table-TextCentred"/>
              <w:keepNext/>
              <w:rPr>
                <w:u w:color="FF0000"/>
              </w:rPr>
            </w:pPr>
            <w:r w:rsidRPr="00843077">
              <w:rPr>
                <w:noProof/>
                <w:u w:color="FF0000"/>
              </w:rPr>
              <w:t>93%</w:t>
            </w:r>
          </w:p>
        </w:tc>
        <w:tc>
          <w:tcPr>
            <w:tcW w:w="717" w:type="dxa"/>
            <w:shd w:val="clear" w:color="auto" w:fill="auto"/>
            <w:vAlign w:val="center"/>
          </w:tcPr>
          <w:p w:rsidR="001C4AD2" w:rsidRPr="00C36678" w:rsidRDefault="001C4AD2" w:rsidP="00162A9B">
            <w:pPr>
              <w:pStyle w:val="Body-Table-TextCentred"/>
              <w:keepNext/>
              <w:rPr>
                <w:u w:color="FF0000"/>
              </w:rPr>
            </w:pPr>
            <w:r w:rsidRPr="00843077">
              <w:rPr>
                <w:noProof/>
                <w:u w:color="FF0000"/>
              </w:rPr>
              <w:t>92%</w:t>
            </w:r>
          </w:p>
        </w:tc>
        <w:tc>
          <w:tcPr>
            <w:tcW w:w="716" w:type="dxa"/>
            <w:shd w:val="clear" w:color="auto" w:fill="auto"/>
            <w:vAlign w:val="center"/>
          </w:tcPr>
          <w:p w:rsidR="001C4AD2" w:rsidRPr="00C36678" w:rsidRDefault="001C4AD2" w:rsidP="00162A9B">
            <w:pPr>
              <w:pStyle w:val="Body-Table-TextCentred"/>
              <w:keepNext/>
              <w:rPr>
                <w:u w:color="FF0000"/>
              </w:rPr>
            </w:pPr>
            <w:r w:rsidRPr="00843077">
              <w:rPr>
                <w:noProof/>
                <w:u w:color="FF0000"/>
              </w:rPr>
              <w:t>88%</w:t>
            </w:r>
          </w:p>
        </w:tc>
        <w:tc>
          <w:tcPr>
            <w:tcW w:w="282" w:type="dxa"/>
            <w:tcBorders>
              <w:top w:val="nil"/>
              <w:bottom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shd w:val="clear" w:color="auto" w:fill="auto"/>
            <w:vAlign w:val="center"/>
          </w:tcPr>
          <w:p w:rsidR="001C4AD2" w:rsidRPr="00C36678" w:rsidRDefault="001C4AD2" w:rsidP="00214F8D">
            <w:pPr>
              <w:pStyle w:val="Body-Table-Text"/>
              <w:keepNext/>
              <w:rPr>
                <w:rFonts w:eastAsia="Meiryo"/>
                <w:u w:color="FF0000"/>
              </w:rPr>
            </w:pPr>
            <w:r w:rsidRPr="00C36678">
              <w:t>Year 7</w:t>
            </w:r>
          </w:p>
        </w:tc>
        <w:tc>
          <w:tcPr>
            <w:tcW w:w="716" w:type="dxa"/>
            <w:shd w:val="clear" w:color="auto" w:fill="auto"/>
            <w:vAlign w:val="center"/>
          </w:tcPr>
          <w:p w:rsidR="001C4AD2" w:rsidRPr="00C36678" w:rsidRDefault="001C4AD2" w:rsidP="00214F8D">
            <w:pPr>
              <w:pStyle w:val="Body-Table-TextCentred"/>
              <w:keepNext/>
              <w:rPr>
                <w:u w:color="FF0000"/>
              </w:rPr>
            </w:pPr>
          </w:p>
        </w:tc>
        <w:tc>
          <w:tcPr>
            <w:tcW w:w="716" w:type="dxa"/>
            <w:shd w:val="clear" w:color="auto" w:fill="auto"/>
            <w:vAlign w:val="center"/>
          </w:tcPr>
          <w:p w:rsidR="001C4AD2" w:rsidRPr="00C36678" w:rsidRDefault="001C4AD2" w:rsidP="00214F8D">
            <w:pPr>
              <w:pStyle w:val="Body-Table-TextCentred"/>
              <w:keepNext/>
              <w:rPr>
                <w:u w:color="FF0000"/>
              </w:rPr>
            </w:pPr>
          </w:p>
        </w:tc>
        <w:tc>
          <w:tcPr>
            <w:tcW w:w="716" w:type="dxa"/>
            <w:shd w:val="clear" w:color="auto" w:fill="auto"/>
            <w:vAlign w:val="center"/>
          </w:tcPr>
          <w:p w:rsidR="001C4AD2" w:rsidRPr="00C36678" w:rsidRDefault="001C4AD2" w:rsidP="00214F8D">
            <w:pPr>
              <w:pStyle w:val="Body-Table-TextCentred"/>
              <w:keepNext/>
              <w:rPr>
                <w:u w:color="FF0000"/>
              </w:rPr>
            </w:pPr>
          </w:p>
        </w:tc>
        <w:tc>
          <w:tcPr>
            <w:tcW w:w="2884" w:type="dxa"/>
            <w:vMerge/>
            <w:tcBorders>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r w:rsidR="001C4AD2" w:rsidRPr="00C36678" w:rsidTr="00AD614C">
        <w:trPr>
          <w:trHeight w:val="340"/>
        </w:trPr>
        <w:tc>
          <w:tcPr>
            <w:tcW w:w="1098" w:type="dxa"/>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1C4AD2" w:rsidRPr="00C36678" w:rsidRDefault="001C4AD2" w:rsidP="00214F8D">
            <w:pPr>
              <w:pStyle w:val="Body-Table-TextCentred"/>
              <w:keepNext/>
              <w:rPr>
                <w:u w:color="FF0000"/>
              </w:rPr>
            </w:pPr>
            <w:r w:rsidRPr="00843077">
              <w:rPr>
                <w:noProof/>
                <w:u w:color="FF0000"/>
              </w:rPr>
              <w:t>91%</w:t>
            </w:r>
          </w:p>
        </w:tc>
        <w:tc>
          <w:tcPr>
            <w:tcW w:w="717" w:type="dxa"/>
            <w:shd w:val="clear" w:color="auto" w:fill="auto"/>
            <w:vAlign w:val="center"/>
          </w:tcPr>
          <w:p w:rsidR="001C4AD2" w:rsidRPr="00C36678" w:rsidRDefault="001C4AD2" w:rsidP="00214F8D">
            <w:pPr>
              <w:pStyle w:val="Body-Table-TextCentred"/>
              <w:keepNext/>
              <w:rPr>
                <w:u w:color="FF0000"/>
              </w:rPr>
            </w:pPr>
            <w:r w:rsidRPr="00843077">
              <w:rPr>
                <w:noProof/>
                <w:u w:color="FF0000"/>
              </w:rPr>
              <w:t>95%</w:t>
            </w:r>
          </w:p>
        </w:tc>
        <w:tc>
          <w:tcPr>
            <w:tcW w:w="716" w:type="dxa"/>
            <w:shd w:val="clear" w:color="auto" w:fill="auto"/>
            <w:vAlign w:val="center"/>
          </w:tcPr>
          <w:p w:rsidR="001C4AD2" w:rsidRPr="00C36678" w:rsidRDefault="001C4AD2" w:rsidP="00214F8D">
            <w:pPr>
              <w:pStyle w:val="Body-Table-TextCentred"/>
              <w:keepNext/>
              <w:rPr>
                <w:u w:color="FF0000"/>
              </w:rPr>
            </w:pPr>
            <w:r w:rsidRPr="00843077">
              <w:rPr>
                <w:noProof/>
                <w:u w:color="FF0000"/>
              </w:rPr>
              <w:t>89%</w:t>
            </w:r>
          </w:p>
        </w:tc>
        <w:tc>
          <w:tcPr>
            <w:tcW w:w="282" w:type="dxa"/>
            <w:tcBorders>
              <w:top w:val="nil"/>
              <w:bottom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shd w:val="clear" w:color="auto" w:fill="auto"/>
            <w:vAlign w:val="center"/>
          </w:tcPr>
          <w:p w:rsidR="001C4AD2" w:rsidRPr="00C36678" w:rsidRDefault="001C4AD2"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1C4AD2" w:rsidRPr="00C36678" w:rsidRDefault="001C4AD2" w:rsidP="00214F8D">
            <w:pPr>
              <w:pStyle w:val="Body-Table-TextCentred"/>
              <w:keepNext/>
              <w:rPr>
                <w:u w:color="FF0000"/>
              </w:rPr>
            </w:pPr>
          </w:p>
        </w:tc>
        <w:tc>
          <w:tcPr>
            <w:tcW w:w="716" w:type="dxa"/>
            <w:shd w:val="clear" w:color="auto" w:fill="auto"/>
            <w:vAlign w:val="center"/>
          </w:tcPr>
          <w:p w:rsidR="001C4AD2" w:rsidRPr="00C36678" w:rsidRDefault="001C4AD2" w:rsidP="00214F8D">
            <w:pPr>
              <w:pStyle w:val="Body-Table-TextCentred"/>
              <w:keepNext/>
              <w:rPr>
                <w:u w:color="FF0000"/>
              </w:rPr>
            </w:pPr>
          </w:p>
        </w:tc>
        <w:tc>
          <w:tcPr>
            <w:tcW w:w="716" w:type="dxa"/>
            <w:shd w:val="clear" w:color="auto" w:fill="auto"/>
            <w:vAlign w:val="center"/>
          </w:tcPr>
          <w:p w:rsidR="001C4AD2" w:rsidRPr="00C36678" w:rsidRDefault="001C4AD2" w:rsidP="00214F8D">
            <w:pPr>
              <w:pStyle w:val="Body-Table-TextCentred"/>
              <w:keepNext/>
              <w:rPr>
                <w:u w:color="FF0000"/>
              </w:rPr>
            </w:pPr>
          </w:p>
        </w:tc>
        <w:tc>
          <w:tcPr>
            <w:tcW w:w="2884" w:type="dxa"/>
            <w:vMerge/>
            <w:tcBorders>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r w:rsidR="001C4AD2" w:rsidRPr="00C36678" w:rsidTr="00AD614C">
        <w:trPr>
          <w:trHeight w:val="340"/>
        </w:trPr>
        <w:tc>
          <w:tcPr>
            <w:tcW w:w="1098"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94%</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94%</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90%</w:t>
            </w:r>
          </w:p>
        </w:tc>
        <w:tc>
          <w:tcPr>
            <w:tcW w:w="282" w:type="dxa"/>
            <w:tcBorders>
              <w:top w:val="nil"/>
              <w:bottom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C4AD2" w:rsidRPr="00C36678" w:rsidRDefault="001C4AD2"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2884" w:type="dxa"/>
            <w:vMerge/>
            <w:tcBorders>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r w:rsidR="001C4AD2" w:rsidRPr="00C36678" w:rsidTr="00AD614C">
        <w:trPr>
          <w:trHeight w:val="340"/>
        </w:trPr>
        <w:tc>
          <w:tcPr>
            <w:tcW w:w="1098"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91%</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92%</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89%</w:t>
            </w:r>
          </w:p>
        </w:tc>
        <w:tc>
          <w:tcPr>
            <w:tcW w:w="282" w:type="dxa"/>
            <w:tcBorders>
              <w:top w:val="nil"/>
              <w:bottom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2884" w:type="dxa"/>
            <w:vMerge/>
            <w:tcBorders>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r w:rsidR="001C4AD2" w:rsidRPr="00C36678" w:rsidTr="00AD614C">
        <w:trPr>
          <w:trHeight w:val="340"/>
        </w:trPr>
        <w:tc>
          <w:tcPr>
            <w:tcW w:w="1098"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90%</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95%</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93%</w:t>
            </w:r>
          </w:p>
        </w:tc>
        <w:tc>
          <w:tcPr>
            <w:tcW w:w="282" w:type="dxa"/>
            <w:tcBorders>
              <w:top w:val="nil"/>
              <w:bottom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2884" w:type="dxa"/>
            <w:vMerge/>
            <w:tcBorders>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r w:rsidR="001C4AD2" w:rsidRPr="00C36678" w:rsidTr="00AD614C">
        <w:trPr>
          <w:trHeight w:val="340"/>
        </w:trPr>
        <w:tc>
          <w:tcPr>
            <w:tcW w:w="1098"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91%</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88%</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92%</w:t>
            </w:r>
          </w:p>
        </w:tc>
        <w:tc>
          <w:tcPr>
            <w:tcW w:w="282" w:type="dxa"/>
            <w:tcBorders>
              <w:top w:val="nil"/>
              <w:bottom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p>
        </w:tc>
        <w:tc>
          <w:tcPr>
            <w:tcW w:w="2884" w:type="dxa"/>
            <w:vMerge/>
            <w:tcBorders>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r w:rsidR="001C4AD2" w:rsidRPr="00C36678" w:rsidTr="00AD614C">
        <w:trPr>
          <w:trHeight w:val="340"/>
        </w:trPr>
        <w:tc>
          <w:tcPr>
            <w:tcW w:w="1098" w:type="dxa"/>
            <w:tcBorders>
              <w:bottom w:val="single" w:sz="4" w:space="0" w:color="808080"/>
            </w:tcBorders>
            <w:shd w:val="clear" w:color="auto" w:fill="auto"/>
            <w:vAlign w:val="center"/>
          </w:tcPr>
          <w:p w:rsidR="001C4AD2" w:rsidRPr="00C36678" w:rsidRDefault="001C4AD2"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92%</w:t>
            </w:r>
          </w:p>
        </w:tc>
        <w:tc>
          <w:tcPr>
            <w:tcW w:w="717"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89%</w:t>
            </w:r>
          </w:p>
        </w:tc>
        <w:tc>
          <w:tcPr>
            <w:tcW w:w="716" w:type="dxa"/>
            <w:tcBorders>
              <w:bottom w:val="single" w:sz="4" w:space="0" w:color="808080"/>
            </w:tcBorders>
            <w:shd w:val="clear" w:color="auto" w:fill="auto"/>
            <w:vAlign w:val="center"/>
          </w:tcPr>
          <w:p w:rsidR="001C4AD2" w:rsidRPr="00C36678" w:rsidRDefault="001C4AD2" w:rsidP="00214F8D">
            <w:pPr>
              <w:pStyle w:val="Body-Table-TextCentred"/>
              <w:keepNext/>
              <w:rPr>
                <w:u w:color="FF0000"/>
              </w:rPr>
            </w:pPr>
            <w:r w:rsidRPr="00843077">
              <w:rPr>
                <w:noProof/>
                <w:u w:color="FF0000"/>
              </w:rPr>
              <w:t>87%</w:t>
            </w:r>
          </w:p>
        </w:tc>
        <w:tc>
          <w:tcPr>
            <w:tcW w:w="282" w:type="dxa"/>
            <w:tcBorders>
              <w:top w:val="nil"/>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1C4AD2" w:rsidRPr="00C36678" w:rsidRDefault="001C4AD2" w:rsidP="00162A9B">
            <w:pPr>
              <w:pStyle w:val="Body-Table-TextCentred"/>
              <w:keepNext/>
              <w:rPr>
                <w:u w:color="FF0000"/>
              </w:rPr>
            </w:pPr>
          </w:p>
        </w:tc>
        <w:tc>
          <w:tcPr>
            <w:tcW w:w="716" w:type="dxa"/>
            <w:tcBorders>
              <w:left w:val="nil"/>
              <w:bottom w:val="nil"/>
              <w:right w:val="nil"/>
            </w:tcBorders>
            <w:shd w:val="clear" w:color="auto" w:fill="auto"/>
            <w:vAlign w:val="center"/>
          </w:tcPr>
          <w:p w:rsidR="001C4AD2" w:rsidRPr="00C36678" w:rsidRDefault="001C4AD2" w:rsidP="00162A9B">
            <w:pPr>
              <w:pStyle w:val="Body-Table-TextCentred"/>
              <w:keepNext/>
              <w:rPr>
                <w:u w:color="FF0000"/>
              </w:rPr>
            </w:pPr>
          </w:p>
        </w:tc>
        <w:tc>
          <w:tcPr>
            <w:tcW w:w="716" w:type="dxa"/>
            <w:tcBorders>
              <w:left w:val="nil"/>
              <w:bottom w:val="nil"/>
              <w:right w:val="nil"/>
            </w:tcBorders>
            <w:shd w:val="clear" w:color="auto" w:fill="auto"/>
            <w:vAlign w:val="center"/>
          </w:tcPr>
          <w:p w:rsidR="001C4AD2" w:rsidRPr="00C36678" w:rsidRDefault="001C4AD2"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1C4AD2" w:rsidRPr="00C36678" w:rsidRDefault="001C4AD2" w:rsidP="00162A9B">
            <w:pPr>
              <w:pStyle w:val="Body-Table-Text"/>
              <w:keepNext/>
              <w:rPr>
                <w:rFonts w:eastAsia="Meiryo"/>
                <w:u w:color="FF0000"/>
              </w:rPr>
            </w:pPr>
          </w:p>
        </w:tc>
      </w:tr>
    </w:tbl>
    <w:p w:rsidR="001C4AD2" w:rsidRPr="00C36678" w:rsidRDefault="001C4AD2" w:rsidP="00A954D3">
      <w:pPr>
        <w:pStyle w:val="Body-Text"/>
      </w:pPr>
    </w:p>
    <w:p w:rsidR="001C4AD2" w:rsidRPr="00C36678" w:rsidRDefault="001C4AD2" w:rsidP="00A954D3">
      <w:pPr>
        <w:pStyle w:val="Body-Text-Smallspace"/>
      </w:pPr>
    </w:p>
    <w:p w:rsidR="001C4AD2" w:rsidRPr="00C36678" w:rsidRDefault="001C4AD2" w:rsidP="0031267B">
      <w:pPr>
        <w:pStyle w:val="Heading3-AR"/>
      </w:pPr>
      <w:r w:rsidRPr="00C36678">
        <w:t>Student attendance distribution</w:t>
      </w:r>
    </w:p>
    <w:p w:rsidR="001C4AD2" w:rsidRPr="00C36678" w:rsidRDefault="001C4AD2" w:rsidP="00086DE0">
      <w:pPr>
        <w:pStyle w:val="Body-Text-Smallspace"/>
      </w:pPr>
    </w:p>
    <w:p w:rsidR="001C4AD2" w:rsidRPr="00C36678" w:rsidRDefault="001C4AD2" w:rsidP="00F04502">
      <w:pPr>
        <w:pStyle w:val="TableCaption-AR"/>
      </w:pPr>
      <w:r w:rsidRPr="00C36678">
        <w:t>Graph 1: Proportion of students by attendance rate</w:t>
      </w:r>
    </w:p>
    <w:p w:rsidR="001C4AD2" w:rsidRPr="00C36678" w:rsidRDefault="00EF3EEE" w:rsidP="008551AF">
      <w:pPr>
        <w:pStyle w:val="Body-Text"/>
      </w:pPr>
      <w:r>
        <w:rPr>
          <w:noProof/>
        </w:rPr>
        <w:drawing>
          <wp:inline distT="0" distB="0" distL="0" distR="0">
            <wp:extent cx="5210175"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0175" cy="1895475"/>
                    </a:xfrm>
                    <a:prstGeom prst="rect">
                      <a:avLst/>
                    </a:prstGeom>
                    <a:noFill/>
                    <a:ln>
                      <a:noFill/>
                    </a:ln>
                  </pic:spPr>
                </pic:pic>
              </a:graphicData>
            </a:graphic>
          </wp:inline>
        </w:drawing>
      </w:r>
    </w:p>
    <w:p w:rsidR="001C4AD2" w:rsidRPr="00C36678" w:rsidRDefault="001C4AD2" w:rsidP="00FC0281">
      <w:pPr>
        <w:pStyle w:val="Body-Text-Smallspace"/>
      </w:pPr>
    </w:p>
    <w:p w:rsidR="001C4AD2" w:rsidRPr="00C36678" w:rsidRDefault="001C4AD2" w:rsidP="00AC1B1C">
      <w:pPr>
        <w:pStyle w:val="Heading3-AR"/>
      </w:pPr>
      <w:r w:rsidRPr="00C36678">
        <w:t>Description of how this school manages non-attendance</w:t>
      </w:r>
    </w:p>
    <w:p w:rsidR="001C4AD2" w:rsidRPr="00C36678" w:rsidRDefault="001C4AD2"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5" w:history="1">
        <w:r w:rsidRPr="004D2AE0">
          <w:rPr>
            <w:rStyle w:val="Hyperlink"/>
            <w:rFonts w:cs="Arial"/>
            <w:i/>
          </w:rPr>
          <w:t>Managing Student Absences and Enforcing Enrolment and Attendance at State Schools</w:t>
        </w:r>
      </w:hyperlink>
      <w:r w:rsidRPr="004D2AE0">
        <w:rPr>
          <w:rFonts w:cs="Arial"/>
        </w:rPr>
        <w:t xml:space="preserve">; and </w:t>
      </w:r>
      <w:hyperlink r:id="rId36"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1C4AD2" w:rsidRDefault="007F47C4" w:rsidP="00460D08">
      <w:pPr>
        <w:pStyle w:val="Body-Text"/>
        <w:spacing w:after="0"/>
      </w:pPr>
      <w:r>
        <w:t xml:space="preserve">Tamrookum State School uses an SMS program (SMS for Schools through Infoways) which informs parents on the day of the child’s absence immediately following the roll marking.  </w:t>
      </w:r>
    </w:p>
    <w:p w:rsidR="007F47C4" w:rsidRDefault="007F47C4" w:rsidP="00460D08">
      <w:pPr>
        <w:pStyle w:val="Body-Text"/>
        <w:spacing w:after="0"/>
      </w:pPr>
      <w:r>
        <w:t>Rolls are marked both AM &amp; PM.</w:t>
      </w:r>
    </w:p>
    <w:p w:rsidR="007F47C4" w:rsidRDefault="007F47C4" w:rsidP="00460D08">
      <w:pPr>
        <w:pStyle w:val="Body-Text"/>
        <w:spacing w:after="0"/>
      </w:pPr>
      <w:r>
        <w:t xml:space="preserve">Parents are required to provide a reason/Drs Certificate for child’s absence.  </w:t>
      </w:r>
    </w:p>
    <w:p w:rsidR="007F47C4" w:rsidRDefault="007F47C4" w:rsidP="00460D08">
      <w:pPr>
        <w:pStyle w:val="Body-Text"/>
        <w:spacing w:after="0"/>
      </w:pPr>
      <w:r>
        <w:t xml:space="preserve">Strategies to increase 100% attendance are Iceblocks after 5 days and a special luncheon for the class over a set percentage. </w:t>
      </w:r>
    </w:p>
    <w:p w:rsidR="00122AD4" w:rsidRPr="00C36678" w:rsidRDefault="00122AD4" w:rsidP="00460D08">
      <w:pPr>
        <w:pStyle w:val="Body-Text"/>
        <w:spacing w:after="0"/>
      </w:pPr>
    </w:p>
    <w:p w:rsidR="001C4AD2" w:rsidRPr="00C36678" w:rsidRDefault="001C4AD2" w:rsidP="00FC0281">
      <w:pPr>
        <w:pStyle w:val="Body-Text-Smallspace"/>
      </w:pPr>
    </w:p>
    <w:p w:rsidR="001C4AD2" w:rsidRPr="00C36678" w:rsidRDefault="001C4AD2" w:rsidP="00AC1B1C">
      <w:pPr>
        <w:pStyle w:val="Heading3-AR"/>
        <w:rPr>
          <w:sz w:val="30"/>
        </w:rPr>
      </w:pPr>
      <w:r w:rsidRPr="00C36678">
        <w:t>NAPLAN</w:t>
      </w:r>
    </w:p>
    <w:p w:rsidR="001C4AD2" w:rsidRPr="00C36678" w:rsidRDefault="001C4AD2" w:rsidP="008551AF">
      <w:pPr>
        <w:pStyle w:val="Body-Text"/>
        <w:rPr>
          <w:szCs w:val="19"/>
        </w:rPr>
      </w:pPr>
      <w:r w:rsidRPr="00C36678">
        <w:t xml:space="preserve">Our reading, writing, spelling, grammar and punctuation, and numeracy results for the Years 3, 5, 7 and 9 NAPLAN tests are available via the </w:t>
      </w:r>
      <w:hyperlink r:id="rId37" w:history="1">
        <w:r w:rsidRPr="002A09AB">
          <w:rPr>
            <w:rStyle w:val="Hyperlink"/>
            <w:i/>
          </w:rPr>
          <w:t>My School</w:t>
        </w:r>
      </w:hyperlink>
      <w:r w:rsidRPr="00C36678">
        <w:t xml:space="preserve"> website</w:t>
      </w:r>
      <w:r w:rsidRPr="00C36678">
        <w:rPr>
          <w:szCs w:val="19"/>
        </w:rPr>
        <w:t>.</w:t>
      </w:r>
    </w:p>
    <w:p w:rsidR="001C4AD2" w:rsidRPr="00C36678" w:rsidRDefault="001C4AD2" w:rsidP="00FC0281">
      <w:pPr>
        <w:pStyle w:val="Body-Text-Smallspace"/>
      </w:pPr>
    </w:p>
    <w:p w:rsidR="001C4AD2" w:rsidRPr="00C36678" w:rsidRDefault="001C4AD2" w:rsidP="00B81905">
      <w:pPr>
        <w:pStyle w:val="Heading4-AR"/>
      </w:pPr>
      <w:r w:rsidRPr="00C36678">
        <w:t>How to access our NAPLAN results</w:t>
      </w:r>
    </w:p>
    <w:p w:rsidR="001C4AD2" w:rsidRPr="00C36678" w:rsidRDefault="001C4AD2"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8" w:history="1">
        <w:r w:rsidRPr="00C36678">
          <w:rPr>
            <w:rStyle w:val="Hyperlink"/>
            <w:rFonts w:cs="Arial"/>
            <w:szCs w:val="19"/>
            <w:lang w:val="en-AU"/>
          </w:rPr>
          <w:t>http://www.myschool.edu.au/</w:t>
        </w:r>
      </w:hyperlink>
      <w:r w:rsidRPr="00C36678">
        <w:rPr>
          <w:rFonts w:cs="Arial"/>
          <w:lang w:val="en-AU"/>
        </w:rPr>
        <w:t>.</w:t>
      </w:r>
    </w:p>
    <w:p w:rsidR="001C4AD2" w:rsidRPr="00C36678" w:rsidRDefault="001C4AD2"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1C4AD2" w:rsidRPr="00C36678" w:rsidRDefault="001C4AD2" w:rsidP="00AD614C">
      <w:pPr>
        <w:pStyle w:val="Body-Text-Smallspace"/>
      </w:pPr>
    </w:p>
    <w:p w:rsidR="001C4AD2" w:rsidRPr="00C36678" w:rsidRDefault="00EF3EEE" w:rsidP="00C21A9B">
      <w:pPr>
        <w:pStyle w:val="Body-Text"/>
        <w:ind w:firstLine="851"/>
      </w:pPr>
      <w:r>
        <w:rPr>
          <w:noProof/>
        </w:rPr>
        <w:drawing>
          <wp:inline distT="0" distB="0" distL="0" distR="0">
            <wp:extent cx="5410200" cy="323850"/>
            <wp:effectExtent l="0" t="0" r="0" b="0"/>
            <wp:docPr id="6" name="Picture 6"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3850"/>
                    </a:xfrm>
                    <a:prstGeom prst="rect">
                      <a:avLst/>
                    </a:prstGeom>
                    <a:noFill/>
                    <a:ln>
                      <a:noFill/>
                    </a:ln>
                  </pic:spPr>
                </pic:pic>
              </a:graphicData>
            </a:graphic>
          </wp:inline>
        </w:drawing>
      </w:r>
    </w:p>
    <w:p w:rsidR="001C4AD2" w:rsidRPr="00C36678" w:rsidRDefault="001C4AD2" w:rsidP="00C21A9B">
      <w:pPr>
        <w:pStyle w:val="Body-Text-Smallspace"/>
      </w:pPr>
    </w:p>
    <w:p w:rsidR="001C4AD2" w:rsidRPr="00C36678" w:rsidRDefault="001C4AD2"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1C4AD2" w:rsidRPr="00C36678" w:rsidRDefault="001C4AD2" w:rsidP="00071129">
      <w:pPr>
        <w:pStyle w:val="Body-Text-Smallspace"/>
      </w:pPr>
    </w:p>
    <w:p w:rsidR="001C4AD2" w:rsidRPr="00C36678" w:rsidRDefault="00EF3EEE" w:rsidP="00C21A9B">
      <w:pPr>
        <w:pStyle w:val="Body-Text"/>
        <w:ind w:firstLine="851"/>
      </w:pPr>
      <w:r w:rsidRPr="00C36678">
        <w:rPr>
          <w:noProof/>
        </w:rPr>
        <w:drawing>
          <wp:inline distT="0" distB="0" distL="0" distR="0">
            <wp:extent cx="1285875"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1C4AD2" w:rsidRPr="00C36678" w:rsidRDefault="001C4AD2"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1C4AD2" w:rsidRPr="00C36678" w:rsidRDefault="001C4AD2" w:rsidP="00071129">
      <w:pPr>
        <w:pStyle w:val="Body-Text-Smallspace"/>
      </w:pPr>
    </w:p>
    <w:p w:rsidR="001C4AD2" w:rsidRPr="00C36678" w:rsidRDefault="00EF3EEE" w:rsidP="00C21A9B">
      <w:pPr>
        <w:pStyle w:val="Body-Text"/>
        <w:ind w:firstLine="851"/>
      </w:pPr>
      <w:r>
        <w:rPr>
          <w:noProof/>
        </w:rPr>
        <w:drawing>
          <wp:inline distT="0" distB="0" distL="0" distR="0">
            <wp:extent cx="5400675" cy="200025"/>
            <wp:effectExtent l="0" t="0" r="0" b="0"/>
            <wp:docPr id="8" name="Picture 8" descr="MySchool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SchoolNAPLA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675" cy="200025"/>
                    </a:xfrm>
                    <a:prstGeom prst="rect">
                      <a:avLst/>
                    </a:prstGeom>
                    <a:noFill/>
                    <a:ln>
                      <a:noFill/>
                    </a:ln>
                  </pic:spPr>
                </pic:pic>
              </a:graphicData>
            </a:graphic>
          </wp:inline>
        </w:drawing>
      </w:r>
    </w:p>
    <w:p w:rsidR="001C4AD2" w:rsidRPr="00C36678" w:rsidRDefault="001C4AD2" w:rsidP="00B64DF9">
      <w:pPr>
        <w:pStyle w:val="Body-Text-Note"/>
      </w:pPr>
      <w:r w:rsidRPr="00C36678">
        <w:t>Notes:</w:t>
      </w:r>
    </w:p>
    <w:p w:rsidR="001C4AD2" w:rsidRPr="00C36678" w:rsidRDefault="001C4AD2"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1C4AD2" w:rsidRPr="00C36678" w:rsidRDefault="001C4AD2" w:rsidP="00B64DF9">
      <w:pPr>
        <w:pStyle w:val="Body-Text-Note"/>
        <w:ind w:left="284" w:hanging="284"/>
      </w:pPr>
      <w:r w:rsidRPr="00C36678">
        <w:t>2.</w:t>
      </w:r>
      <w:r w:rsidRPr="00C36678">
        <w:tab/>
        <w:t>The National Assessment Program – Literacy and Numeracy (</w:t>
      </w:r>
      <w:hyperlink r:id="rId40" w:history="1">
        <w:r w:rsidRPr="002A09AB">
          <w:rPr>
            <w:rStyle w:val="Hyperlink"/>
            <w:sz w:val="18"/>
          </w:rPr>
          <w:t>NAPLAN</w:t>
        </w:r>
      </w:hyperlink>
      <w:r w:rsidRPr="00C36678">
        <w:t>) is an annual assessment for students in Years 3, 5, 7 and 9.</w:t>
      </w:r>
    </w:p>
    <w:p w:rsidR="001C4AD2" w:rsidRDefault="001C4AD2" w:rsidP="00460D08">
      <w:pPr>
        <w:pStyle w:val="Body-Text"/>
        <w:spacing w:after="0"/>
        <w:sectPr w:rsidR="001C4AD2" w:rsidSect="00BB5435">
          <w:headerReference w:type="even" r:id="rId41"/>
          <w:headerReference w:type="default" r:id="rId42"/>
          <w:headerReference w:type="first" r:id="rId43"/>
          <w:pgSz w:w="11906" w:h="16838"/>
          <w:pgMar w:top="1134" w:right="1134" w:bottom="1134" w:left="1134" w:header="567" w:footer="567" w:gutter="0"/>
          <w:cols w:space="709"/>
          <w:docGrid w:linePitch="360"/>
        </w:sectPr>
      </w:pPr>
    </w:p>
    <w:p w:rsidR="001C4AD2" w:rsidRPr="00C36678" w:rsidRDefault="001C4AD2" w:rsidP="00460D08">
      <w:pPr>
        <w:pStyle w:val="Body-Text"/>
        <w:spacing w:after="0"/>
      </w:pPr>
    </w:p>
    <w:sectPr w:rsidR="001C4AD2" w:rsidRPr="00C36678" w:rsidSect="001C4AD2">
      <w:headerReference w:type="even" r:id="rId44"/>
      <w:headerReference w:type="default" r:id="rId45"/>
      <w:headerReference w:type="first" r:id="rId46"/>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EE" w:rsidRDefault="00EF3EEE" w:rsidP="00DF75DD">
      <w:r>
        <w:separator/>
      </w:r>
    </w:p>
  </w:endnote>
  <w:endnote w:type="continuationSeparator" w:id="0">
    <w:p w:rsidR="00EF3EEE" w:rsidRDefault="00EF3EEE"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EF3EEE" w:rsidP="0063618A">
    <w:pPr>
      <w:pStyle w:val="Footer"/>
      <w:pBdr>
        <w:top w:val="single" w:sz="12" w:space="6" w:color="003D69"/>
      </w:pBdr>
      <w:ind w:firstLine="8505"/>
    </w:pPr>
    <w:r>
      <w:rPr>
        <w:noProof/>
      </w:rPr>
      <w:drawing>
        <wp:inline distT="0" distB="0" distL="0" distR="0">
          <wp:extent cx="1647825" cy="542925"/>
          <wp:effectExtent l="0" t="0" r="0" b="0"/>
          <wp:docPr id="1" name="Picture 1"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EF3EEE">
      <w:rPr>
        <w:b/>
        <w:noProof/>
        <w:color w:val="003D69"/>
        <w:sz w:val="21"/>
        <w:szCs w:val="21"/>
        <w:u w:val="single"/>
      </w:rPr>
      <w:t>7</w:t>
    </w:r>
    <w:r w:rsidRPr="0063618A">
      <w:rPr>
        <w:b/>
        <w:noProof/>
        <w:color w:val="003D69"/>
        <w:sz w:val="21"/>
        <w:szCs w:val="21"/>
        <w:u w:val="single"/>
      </w:rPr>
      <w:fldChar w:fldCharType="end"/>
    </w:r>
  </w:p>
  <w:p w:rsidR="001C4AD2" w:rsidRPr="00214F8D" w:rsidRDefault="001C4AD2" w:rsidP="00DD459A">
    <w:pPr>
      <w:pStyle w:val="Footer"/>
    </w:pPr>
    <w:r w:rsidRPr="00843077">
      <w:rPr>
        <w:noProof/>
      </w:rPr>
      <w:t>Tamrookum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EE" w:rsidRDefault="00EF3EEE" w:rsidP="00DF75DD">
      <w:r>
        <w:separator/>
      </w:r>
    </w:p>
  </w:footnote>
  <w:footnote w:type="continuationSeparator" w:id="0">
    <w:p w:rsidR="00EF3EEE" w:rsidRDefault="00EF3EEE"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D2" w:rsidRDefault="001C4AD2" w:rsidP="00DF7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EE"/>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29B6"/>
    <w:rsid w:val="000642CF"/>
    <w:rsid w:val="0006486B"/>
    <w:rsid w:val="00067474"/>
    <w:rsid w:val="00071129"/>
    <w:rsid w:val="00071A1B"/>
    <w:rsid w:val="0007536E"/>
    <w:rsid w:val="00084ACA"/>
    <w:rsid w:val="00085065"/>
    <w:rsid w:val="000854C0"/>
    <w:rsid w:val="000866AE"/>
    <w:rsid w:val="00086DE0"/>
    <w:rsid w:val="00087491"/>
    <w:rsid w:val="00092426"/>
    <w:rsid w:val="00094A1E"/>
    <w:rsid w:val="00096705"/>
    <w:rsid w:val="00096B19"/>
    <w:rsid w:val="00097E0F"/>
    <w:rsid w:val="000A3E11"/>
    <w:rsid w:val="000A4E48"/>
    <w:rsid w:val="000A6C71"/>
    <w:rsid w:val="000A6F63"/>
    <w:rsid w:val="000A73B9"/>
    <w:rsid w:val="000B2AB6"/>
    <w:rsid w:val="000B2C94"/>
    <w:rsid w:val="000B399F"/>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22AD4"/>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208C"/>
    <w:rsid w:val="001B26F8"/>
    <w:rsid w:val="001B2B40"/>
    <w:rsid w:val="001B3FDE"/>
    <w:rsid w:val="001B4102"/>
    <w:rsid w:val="001B4C47"/>
    <w:rsid w:val="001C209E"/>
    <w:rsid w:val="001C3753"/>
    <w:rsid w:val="001C4AD2"/>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2F2E7C"/>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CE7"/>
    <w:rsid w:val="003760B6"/>
    <w:rsid w:val="003851BF"/>
    <w:rsid w:val="003852CF"/>
    <w:rsid w:val="003870EE"/>
    <w:rsid w:val="00390B48"/>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0693"/>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51C8"/>
    <w:rsid w:val="005C5818"/>
    <w:rsid w:val="005C58D0"/>
    <w:rsid w:val="005C6542"/>
    <w:rsid w:val="005D1849"/>
    <w:rsid w:val="005D2687"/>
    <w:rsid w:val="005D3377"/>
    <w:rsid w:val="005D3AF6"/>
    <w:rsid w:val="005D74B3"/>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953E2"/>
    <w:rsid w:val="006A0A4B"/>
    <w:rsid w:val="006A1CCE"/>
    <w:rsid w:val="006A62ED"/>
    <w:rsid w:val="006A6A8B"/>
    <w:rsid w:val="006B2326"/>
    <w:rsid w:val="006B3F2D"/>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9B"/>
    <w:rsid w:val="00717EE2"/>
    <w:rsid w:val="007201B1"/>
    <w:rsid w:val="00727085"/>
    <w:rsid w:val="007271A7"/>
    <w:rsid w:val="007304B0"/>
    <w:rsid w:val="007360BB"/>
    <w:rsid w:val="00736B35"/>
    <w:rsid w:val="00740586"/>
    <w:rsid w:val="0074256D"/>
    <w:rsid w:val="007441A7"/>
    <w:rsid w:val="00746850"/>
    <w:rsid w:val="007511EA"/>
    <w:rsid w:val="00752526"/>
    <w:rsid w:val="007529B3"/>
    <w:rsid w:val="0075431C"/>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47C4"/>
    <w:rsid w:val="007F6FBD"/>
    <w:rsid w:val="00803707"/>
    <w:rsid w:val="008048D1"/>
    <w:rsid w:val="00804AAC"/>
    <w:rsid w:val="008050F9"/>
    <w:rsid w:val="008061A8"/>
    <w:rsid w:val="00810B13"/>
    <w:rsid w:val="00813503"/>
    <w:rsid w:val="00815602"/>
    <w:rsid w:val="0082795C"/>
    <w:rsid w:val="008328D2"/>
    <w:rsid w:val="00833206"/>
    <w:rsid w:val="0083536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17EE"/>
    <w:rsid w:val="0089225F"/>
    <w:rsid w:val="00897392"/>
    <w:rsid w:val="008A1FCB"/>
    <w:rsid w:val="008A20E0"/>
    <w:rsid w:val="008A2DD7"/>
    <w:rsid w:val="008A3DA7"/>
    <w:rsid w:val="008B14F8"/>
    <w:rsid w:val="008C1719"/>
    <w:rsid w:val="008C2414"/>
    <w:rsid w:val="008C2A34"/>
    <w:rsid w:val="008C6D9A"/>
    <w:rsid w:val="008D1F07"/>
    <w:rsid w:val="008E20DF"/>
    <w:rsid w:val="008E22B8"/>
    <w:rsid w:val="008E2D0A"/>
    <w:rsid w:val="008E52F2"/>
    <w:rsid w:val="008E794B"/>
    <w:rsid w:val="008F21A6"/>
    <w:rsid w:val="008F303D"/>
    <w:rsid w:val="009036BB"/>
    <w:rsid w:val="00903721"/>
    <w:rsid w:val="00905457"/>
    <w:rsid w:val="00905E0F"/>
    <w:rsid w:val="00907B51"/>
    <w:rsid w:val="00910996"/>
    <w:rsid w:val="0091281F"/>
    <w:rsid w:val="00912B84"/>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62D7"/>
    <w:rsid w:val="00B86DB9"/>
    <w:rsid w:val="00B86E6F"/>
    <w:rsid w:val="00B9055E"/>
    <w:rsid w:val="00B95642"/>
    <w:rsid w:val="00B958E1"/>
    <w:rsid w:val="00B95C3E"/>
    <w:rsid w:val="00B95DE9"/>
    <w:rsid w:val="00B9666E"/>
    <w:rsid w:val="00BA0B1E"/>
    <w:rsid w:val="00BA1261"/>
    <w:rsid w:val="00BA6BFA"/>
    <w:rsid w:val="00BA7DDB"/>
    <w:rsid w:val="00BB159F"/>
    <w:rsid w:val="00BB5435"/>
    <w:rsid w:val="00BC059A"/>
    <w:rsid w:val="00BC260C"/>
    <w:rsid w:val="00BD2E6A"/>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56A0"/>
    <w:rsid w:val="00CD7103"/>
    <w:rsid w:val="00CD741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C03F8"/>
    <w:rsid w:val="00DC3259"/>
    <w:rsid w:val="00DC3305"/>
    <w:rsid w:val="00DC3FBB"/>
    <w:rsid w:val="00DD038D"/>
    <w:rsid w:val="00DD2F06"/>
    <w:rsid w:val="00DD459A"/>
    <w:rsid w:val="00DD45EA"/>
    <w:rsid w:val="00DD4AEC"/>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71A"/>
    <w:rsid w:val="00E27ACC"/>
    <w:rsid w:val="00E31B50"/>
    <w:rsid w:val="00E3365C"/>
    <w:rsid w:val="00E35C52"/>
    <w:rsid w:val="00E4000A"/>
    <w:rsid w:val="00E40798"/>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53F1"/>
    <w:rsid w:val="00E95CBA"/>
    <w:rsid w:val="00E97307"/>
    <w:rsid w:val="00E97BF8"/>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463"/>
    <w:rsid w:val="00EE5F0D"/>
    <w:rsid w:val="00EE60F7"/>
    <w:rsid w:val="00EE672D"/>
    <w:rsid w:val="00EF28E9"/>
    <w:rsid w:val="00EF3EEE"/>
    <w:rsid w:val="00EF7DFB"/>
    <w:rsid w:val="00F02389"/>
    <w:rsid w:val="00F03995"/>
    <w:rsid w:val="00F04502"/>
    <w:rsid w:val="00F0493A"/>
    <w:rsid w:val="00F049E4"/>
    <w:rsid w:val="00F0547E"/>
    <w:rsid w:val="00F10CA6"/>
    <w:rsid w:val="00F10DFA"/>
    <w:rsid w:val="00F12092"/>
    <w:rsid w:val="00F13D83"/>
    <w:rsid w:val="00F210BC"/>
    <w:rsid w:val="00F224E9"/>
    <w:rsid w:val="00F2363E"/>
    <w:rsid w:val="00F26109"/>
    <w:rsid w:val="00F26F76"/>
    <w:rsid w:val="00F31488"/>
    <w:rsid w:val="00F37B80"/>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4E37"/>
    <w:rsid w:val="00F95046"/>
    <w:rsid w:val="00F96F88"/>
    <w:rsid w:val="00F97520"/>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7E1"/>
    <w:rsid w:val="00FD7C36"/>
    <w:rsid w:val="00FD7FF4"/>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638ED-108D-4EDC-96B6-9C4B3360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rPr>
  </w:style>
  <w:style w:type="paragraph" w:customStyle="1" w:styleId="Body-Text">
    <w:name w:val="Body - Text"/>
    <w:qFormat/>
    <w:rsid w:val="00AE6C76"/>
    <w:pPr>
      <w:spacing w:after="120"/>
    </w:pPr>
    <w:rPr>
      <w:rFonts w:ascii="Arial" w:eastAsia="Meiryo" w:hAnsi="Arial" w:cs="Arial"/>
      <w:bCs/>
      <w:sz w:val="19"/>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rPr>
  </w:style>
  <w:style w:type="paragraph" w:customStyle="1" w:styleId="Body-Table-Heading">
    <w:name w:val="Body - Table - Heading"/>
    <w:qFormat/>
    <w:rsid w:val="00162A9B"/>
    <w:pPr>
      <w:spacing w:before="80" w:after="80"/>
    </w:pPr>
    <w:rPr>
      <w:rFonts w:ascii="Arial" w:eastAsia="Meiryo" w:hAnsi="Arial" w:cs="Arial"/>
      <w:b/>
      <w:sz w:val="18"/>
      <w:szCs w:val="18"/>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rPr>
  </w:style>
  <w:style w:type="paragraph" w:customStyle="1" w:styleId="Cover-Header1">
    <w:name w:val="Cover - Header 1"/>
    <w:rsid w:val="000C3B7B"/>
    <w:pPr>
      <w:spacing w:before="60"/>
      <w:jc w:val="center"/>
    </w:pPr>
    <w:rPr>
      <w:rFonts w:ascii="Arial" w:eastAsia="Times New Roman" w:hAnsi="Arial" w:cs="Arial"/>
      <w:sz w:val="56"/>
      <w:szCs w:val="56"/>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education.qld.gov.au/curriculum/stages-of-schooling/respectful-relationships" TargetMode="External"/><Relationship Id="rId39" Type="http://schemas.openxmlformats.org/officeDocument/2006/relationships/image" Target="media/image7.png"/><Relationship Id="rId21" Type="http://schemas.openxmlformats.org/officeDocument/2006/relationships/hyperlink" Target="https://education.qld.gov.au/curriculum/stages-of-schooling/p-12" TargetMode="External"/><Relationship Id="rId34" Type="http://schemas.openxmlformats.org/officeDocument/2006/relationships/image" Target="media/image6.emf"/><Relationship Id="rId42" Type="http://schemas.openxmlformats.org/officeDocument/2006/relationships/header" Target="header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qld.gov.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s://www.qld.gov.au/education/schools/health" TargetMode="External"/><Relationship Id="rId32" Type="http://schemas.openxmlformats.org/officeDocument/2006/relationships/hyperlink" Target="https://cdn.qct.edu.au/pdf/Policy_Teacher_registration_eligibility_requirements_EC33_000.pdf?_ga=2.167366263.81220565.1590032243-410575548.1587024613" TargetMode="External"/><Relationship Id="rId37" Type="http://schemas.openxmlformats.org/officeDocument/2006/relationships/hyperlink" Target="http://www.myschool.edu.au/" TargetMode="External"/><Relationship Id="rId40" Type="http://schemas.openxmlformats.org/officeDocument/2006/relationships/hyperlink" Target="http://www.nap.edu.au/naplan"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yschool.edu.au/" TargetMode="External"/><Relationship Id="rId23" Type="http://schemas.openxmlformats.org/officeDocument/2006/relationships/hyperlink" Target="https://education.qld.gov.au/parents-and-carers/school-information/student-ict-device-programs/one-to-one-models" TargetMode="External"/><Relationship Id="rId28" Type="http://schemas.openxmlformats.org/officeDocument/2006/relationships/hyperlink" Target="http://www.myschool.edu.au/" TargetMode="External"/><Relationship Id="rId36" Type="http://schemas.openxmlformats.org/officeDocument/2006/relationships/hyperlink" Target="http://ppr.det.qld.gov.au/education/management/Pages/Roll-Marking-in-State-Schools.asp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earlychildhood.qld.gov.au/early-years/kindergarten-programs/kindergarten-in-indigenous-communities" TargetMode="External"/><Relationship Id="rId31" Type="http://schemas.openxmlformats.org/officeDocument/2006/relationships/image" Target="media/image5.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ld.gov.au/education/schools/information/programs" TargetMode="External"/><Relationship Id="rId27" Type="http://schemas.openxmlformats.org/officeDocument/2006/relationships/hyperlink" Target="http://www.myschool.edu.au/" TargetMode="External"/><Relationship Id="rId30" Type="http://schemas.openxmlformats.org/officeDocument/2006/relationships/image" Target="media/image4.png"/><Relationship Id="rId35" Type="http://schemas.openxmlformats.org/officeDocument/2006/relationships/hyperlink" Target="http://ppr.det.qld.gov.au/education/management/Pages/Managing-Student-Absences-and-Enforcing-Enrolment-and-Attendance-at-State-Schools.aspx"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sdirectory.eq.edu.au/" TargetMode="External"/><Relationship Id="rId25" Type="http://schemas.openxmlformats.org/officeDocument/2006/relationships/hyperlink" Target="https://education.qld.gov.au/parents-and-carers/community-engagement" TargetMode="External"/><Relationship Id="rId33" Type="http://schemas.openxmlformats.org/officeDocument/2006/relationships/hyperlink" Target="https://www.qct.edu.au/registration/qualifications" TargetMode="External"/><Relationship Id="rId38" Type="http://schemas.openxmlformats.org/officeDocument/2006/relationships/hyperlink" Target="http://www.myschool.edu.au/" TargetMode="External"/><Relationship Id="rId46" Type="http://schemas.openxmlformats.org/officeDocument/2006/relationships/header" Target="header9.xml"/><Relationship Id="rId20" Type="http://schemas.openxmlformats.org/officeDocument/2006/relationships/hyperlink" Target="https://qed.qld.gov.au/publications/reports/statistics/schooling/school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data\Office\General%20Data\Programs%20Policies%20and%20Planning%20Documents\TSS%20Amended%20Annual%20Report%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B8F80908AD4EF84C931A564A1E28F7790054675790C732BF45A5D95DDC75EBB278" ma:contentTypeVersion="23" ma:contentTypeDescription="Create a new Annual Report" ma:contentTypeScope="" ma:versionID="f1edac0bb1b45a00c7b9de11928c075f">
  <xsd:schema xmlns:xsd="http://www.w3.org/2001/XMLSchema" xmlns:xs="http://www.w3.org/2001/XMLSchema" xmlns:p="http://schemas.microsoft.com/office/2006/metadata/properties" xmlns:ns2="e6bdf7f7-1365-48c8-bfc7-39645b78c49f" targetNamespace="http://schemas.microsoft.com/office/2006/metadata/properties" ma:root="true" ma:fieldsID="72c2efb5a2b9d4796117e09abdadba5f" ns2:_="">
    <xsd:import namespace="e6bdf7f7-1365-48c8-bfc7-39645b78c49f"/>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df7f7-1365-48c8-bfc7-39645b78c49f"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6bdf7f7-1365-48c8-bfc7-39645b78c49f">
      <UserInfo>
        <DisplayName>SALMONI, Elizabeth</DisplayName>
        <AccountId>26</AccountId>
        <AccountType/>
      </UserInfo>
    </PPLastReviewedBy>
    <PPSubmittedDate xmlns="e6bdf7f7-1365-48c8-bfc7-39645b78c49f">2020-06-23T02:16:45+00:00</PPSubmittedDate>
    <PPModeratedDate xmlns="e6bdf7f7-1365-48c8-bfc7-39645b78c49f">2020-06-23T02:17:18+00:00</PPModeratedDate>
    <AnnualReportDate xmlns="e6bdf7f7-1365-48c8-bfc7-39645b78c49f">2020-06-22T14:00:00+00:00</AnnualReportDate>
    <PPPublishedNotificationAddresses xmlns="e6bdf7f7-1365-48c8-bfc7-39645b78c49f" xsi:nil="true"/>
    <PPReferenceNumber xmlns="e6bdf7f7-1365-48c8-bfc7-39645b78c49f" xsi:nil="true"/>
    <PPLastReviewedDate xmlns="e6bdf7f7-1365-48c8-bfc7-39645b78c49f">2020-06-23T02:17:19+00:00</PPLastReviewedDate>
    <PPModeratedBy xmlns="e6bdf7f7-1365-48c8-bfc7-39645b78c49f">
      <UserInfo>
        <DisplayName>SALMONI, Elizabeth</DisplayName>
        <AccountId>26</AccountId>
        <AccountType/>
      </UserInfo>
    </PPModeratedBy>
    <PPContentApprover xmlns="e6bdf7f7-1365-48c8-bfc7-39645b78c49f">
      <UserInfo>
        <DisplayName>SALMONI, Elizabeth</DisplayName>
        <AccountId>26</AccountId>
        <AccountType/>
      </UserInfo>
    </PPContentApprover>
    <PPSubmittedBy xmlns="e6bdf7f7-1365-48c8-bfc7-39645b78c49f">
      <UserInfo>
        <DisplayName>HENRY, Linda</DisplayName>
        <AccountId>28</AccountId>
        <AccountType/>
      </UserInfo>
    </PPSubmittedBy>
    <PPReviewDate xmlns="e6bdf7f7-1365-48c8-bfc7-39645b78c49f">2021-06-22T14:00:00+00:00</PPReviewDate>
    <PPContentAuthor xmlns="e6bdf7f7-1365-48c8-bfc7-39645b78c49f">
      <UserInfo>
        <DisplayName>HENRY, Linda</DisplayName>
        <AccountId>28</AccountId>
        <AccountType/>
      </UserInfo>
    </PPContentAuthor>
    <PPContentOwner xmlns="e6bdf7f7-1365-48c8-bfc7-39645b78c49f">
      <UserInfo>
        <DisplayName>SALMONI, Elizabeth</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6BC4-CFE0-4968-8F9B-49DE983FEFF4}"/>
</file>

<file path=customXml/itemProps2.xml><?xml version="1.0" encoding="utf-8"?>
<ds:datastoreItem xmlns:ds="http://schemas.openxmlformats.org/officeDocument/2006/customXml" ds:itemID="{E5F679F5-E3D3-47C8-A824-A0524A9EC1E6}"/>
</file>

<file path=customXml/itemProps3.xml><?xml version="1.0" encoding="utf-8"?>
<ds:datastoreItem xmlns:ds="http://schemas.openxmlformats.org/officeDocument/2006/customXml" ds:itemID="{B45E8DDE-8A42-4682-B707-1B8A6E801492}"/>
</file>

<file path=customXml/itemProps4.xml><?xml version="1.0" encoding="utf-8"?>
<ds:datastoreItem xmlns:ds="http://schemas.openxmlformats.org/officeDocument/2006/customXml" ds:itemID="{25BF31D1-BA29-44DC-8B9B-C27B86B208EF}"/>
</file>

<file path=docProps/app.xml><?xml version="1.0" encoding="utf-8"?>
<Properties xmlns="http://schemas.openxmlformats.org/officeDocument/2006/extended-properties" xmlns:vt="http://schemas.openxmlformats.org/officeDocument/2006/docPropsVTypes">
  <Template>TSS Amended Annual Report 2019.dot</Template>
  <TotalTime>2</TotalTime>
  <Pages>11</Pages>
  <Words>3015</Words>
  <Characters>17192</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The P–12 curriculum, assessment and reporting framework specifies the curriculum</vt:lpstr>
      <vt:lpstr>        Queensland state schools provide a wide range of subjects and extra curricula ac</vt:lpstr>
      <vt:lpstr>        Information and communication technologies (ICT) are an important part of contem</vt:lpstr>
      <vt:lpstr>        Each Queensland state school develops and enacts policies to support an integrat</vt:lpstr>
      <vt:lpstr>        Our Student Code of Conduct is our school’s behaviour policy, with information a</vt:lpstr>
      <vt:lpstr>        Further information is also available at https://www.qld.gov.au/education/school</vt:lpstr>
      <vt:lpstr>        </vt:lpstr>
    </vt:vector>
  </TitlesOfParts>
  <Company>Queensland Government</Company>
  <LinksUpToDate>false</LinksUpToDate>
  <CharactersWithSpaces>20167</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HENRY, Linda</dc:creator>
  <cp:keywords/>
  <dc:description/>
  <cp:lastModifiedBy>HENRY, Linda (lhenr58)</cp:lastModifiedBy>
  <cp:revision>1</cp:revision>
  <cp:lastPrinted>2020-06-18T02:51:00Z</cp:lastPrinted>
  <dcterms:created xsi:type="dcterms:W3CDTF">2020-06-23T01:19:00Z</dcterms:created>
  <dcterms:modified xsi:type="dcterms:W3CDTF">2020-06-23T01:21:00Z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0x010100B8F80908AD4EF84C931A564A1E28F7790054675790C732BF45A5D95DDC75EBB278</vt:lpwstr>
  </property>
</Properties>
</file>